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20"/>
        <w:ind w:firstLine="1084" w:firstLineChars="300"/>
        <w:rPr>
          <w:b/>
          <w:bCs/>
          <w:sz w:val="36"/>
          <w:szCs w:val="36"/>
        </w:rPr>
      </w:pPr>
    </w:p>
    <w:p>
      <w:pPr>
        <w:pStyle w:val="2"/>
        <w:spacing w:before="20"/>
        <w:ind w:firstLine="361" w:firstLineChars="100"/>
        <w:rPr>
          <w:rFonts w:hint="eastAsia"/>
          <w:b/>
          <w:bCs/>
          <w:sz w:val="36"/>
          <w:szCs w:val="36"/>
          <w:lang w:val="en-US" w:eastAsia="zh-CN"/>
        </w:rPr>
      </w:pPr>
      <w:r>
        <w:rPr>
          <w:b/>
          <w:bCs/>
          <w:sz w:val="36"/>
          <w:szCs w:val="36"/>
        </w:rPr>
        <w:t>马鞍山市</w:t>
      </w:r>
      <w:bookmarkStart w:id="0" w:name="_GoBack"/>
      <w:r>
        <w:rPr>
          <w:b/>
          <w:bCs/>
          <w:sz w:val="36"/>
          <w:szCs w:val="36"/>
        </w:rPr>
        <w:t>人民医院</w:t>
      </w:r>
      <w:r>
        <w:rPr>
          <w:rFonts w:hint="eastAsia"/>
          <w:b/>
          <w:bCs/>
          <w:sz w:val="36"/>
          <w:szCs w:val="36"/>
          <w:lang w:eastAsia="zh-CN"/>
        </w:rPr>
        <w:t>（秀山医院</w:t>
      </w:r>
      <w:r>
        <w:rPr>
          <w:rFonts w:hint="eastAsia"/>
          <w:b/>
          <w:bCs/>
          <w:sz w:val="36"/>
          <w:szCs w:val="36"/>
          <w:lang w:val="en-US" w:eastAsia="zh-CN"/>
        </w:rPr>
        <w:t>)药房、病理科、门诊部</w:t>
      </w:r>
    </w:p>
    <w:p>
      <w:pPr>
        <w:pStyle w:val="2"/>
        <w:spacing w:before="20"/>
        <w:ind w:firstLine="723" w:firstLineChars="200"/>
        <w:rPr>
          <w:rFonts w:hint="eastAsia" w:ascii="黑体" w:eastAsia="黑体"/>
          <w:b/>
          <w:bCs/>
          <w:sz w:val="36"/>
          <w:szCs w:val="36"/>
        </w:rPr>
      </w:pPr>
      <w:r>
        <w:rPr>
          <w:rFonts w:hint="eastAsia"/>
          <w:b/>
          <w:bCs/>
          <w:sz w:val="36"/>
          <w:szCs w:val="36"/>
          <w:lang w:val="en-US" w:eastAsia="zh-CN"/>
        </w:rPr>
        <w:t>采购钢制发药台、治疗台等物品</w:t>
      </w:r>
      <w:bookmarkEnd w:id="0"/>
      <w:r>
        <w:rPr>
          <w:rFonts w:hint="eastAsia"/>
          <w:b/>
          <w:bCs/>
          <w:sz w:val="36"/>
          <w:szCs w:val="36"/>
          <w:lang w:val="en-US" w:eastAsia="zh-CN"/>
        </w:rPr>
        <w:t>及安装</w:t>
      </w:r>
      <w:r>
        <w:rPr>
          <w:b/>
          <w:bCs/>
          <w:sz w:val="36"/>
          <w:szCs w:val="36"/>
        </w:rPr>
        <w:t>项目</w:t>
      </w:r>
      <w:r>
        <w:rPr>
          <w:rFonts w:hint="eastAsia" w:ascii="黑体" w:eastAsia="黑体"/>
          <w:b/>
          <w:bCs/>
          <w:sz w:val="36"/>
          <w:szCs w:val="36"/>
        </w:rPr>
        <w:t>招标要求</w:t>
      </w:r>
    </w:p>
    <w:p>
      <w:pPr>
        <w:ind w:firstLine="600" w:firstLineChars="200"/>
        <w:rPr>
          <w:rFonts w:ascii="黑体" w:eastAsia="黑体"/>
          <w:sz w:val="30"/>
          <w:szCs w:val="30"/>
        </w:rPr>
      </w:pPr>
      <w:r>
        <w:rPr>
          <w:rFonts w:hint="eastAsia" w:ascii="黑体" w:eastAsia="黑体"/>
          <w:sz w:val="30"/>
          <w:szCs w:val="30"/>
        </w:rPr>
        <w:t xml:space="preserve">  </w:t>
      </w:r>
    </w:p>
    <w:p>
      <w:pPr>
        <w:pStyle w:val="2"/>
        <w:numPr>
          <w:ilvl w:val="0"/>
          <w:numId w:val="1"/>
        </w:numPr>
        <w:spacing w:before="20"/>
        <w:ind w:firstLine="281" w:firstLineChars="100"/>
        <w:rPr>
          <w:rFonts w:hint="eastAsia"/>
          <w:b/>
          <w:bCs/>
          <w:sz w:val="28"/>
          <w:szCs w:val="28"/>
          <w:lang w:val="en-US" w:eastAsia="zh-CN"/>
        </w:rPr>
      </w:pPr>
      <w:r>
        <w:rPr>
          <w:rFonts w:hint="eastAsia" w:ascii="宋体" w:hAnsi="宋体" w:cs="宋体"/>
          <w:b/>
          <w:bCs/>
          <w:sz w:val="28"/>
          <w:szCs w:val="28"/>
        </w:rPr>
        <w:t>情况说明</w:t>
      </w:r>
      <w:r>
        <w:rPr>
          <w:rFonts w:hint="eastAsia" w:ascii="宋体" w:hAnsi="宋体" w:cs="宋体"/>
          <w:sz w:val="28"/>
          <w:szCs w:val="28"/>
        </w:rPr>
        <w:t>：</w:t>
      </w:r>
      <w:r>
        <w:rPr>
          <w:b/>
          <w:bCs/>
          <w:sz w:val="28"/>
          <w:szCs w:val="28"/>
        </w:rPr>
        <w:t>马鞍山市人民医院秀山院区</w:t>
      </w:r>
      <w:r>
        <w:rPr>
          <w:rFonts w:hint="eastAsia"/>
          <w:b/>
          <w:bCs/>
          <w:sz w:val="28"/>
          <w:szCs w:val="28"/>
          <w:lang w:val="en-US" w:eastAsia="zh-CN"/>
        </w:rPr>
        <w:t>药房、病理科、门诊部采购钢制发</w:t>
      </w:r>
    </w:p>
    <w:p>
      <w:pPr>
        <w:pStyle w:val="2"/>
        <w:numPr>
          <w:ilvl w:val="0"/>
          <w:numId w:val="0"/>
        </w:numPr>
        <w:spacing w:before="20"/>
        <w:rPr>
          <w:rFonts w:hint="default" w:ascii="宋体" w:hAnsi="宋体" w:eastAsia="宋体" w:cs="宋体"/>
          <w:sz w:val="28"/>
          <w:szCs w:val="28"/>
          <w:lang w:val="en-US" w:eastAsia="zh-CN"/>
        </w:rPr>
      </w:pPr>
      <w:r>
        <w:rPr>
          <w:rFonts w:hint="eastAsia"/>
          <w:b/>
          <w:bCs/>
          <w:sz w:val="28"/>
          <w:szCs w:val="28"/>
          <w:lang w:val="en-US" w:eastAsia="zh-CN"/>
        </w:rPr>
        <w:t>药台、治疗台等物品</w:t>
      </w:r>
      <w:r>
        <w:rPr>
          <w:b/>
          <w:bCs/>
          <w:sz w:val="28"/>
          <w:szCs w:val="28"/>
        </w:rPr>
        <w:t>及安装项目</w:t>
      </w:r>
      <w:r>
        <w:rPr>
          <w:rFonts w:hint="eastAsia"/>
          <w:b/>
          <w:bCs/>
          <w:sz w:val="28"/>
          <w:szCs w:val="28"/>
          <w:lang w:eastAsia="zh-CN"/>
        </w:rPr>
        <w:t>。</w:t>
      </w:r>
      <w:r>
        <w:rPr>
          <w:rFonts w:hint="eastAsia"/>
          <w:sz w:val="28"/>
          <w:szCs w:val="28"/>
          <w:lang w:val="en-US" w:eastAsia="zh-CN"/>
        </w:rPr>
        <w:t xml:space="preserve"> </w:t>
      </w:r>
    </w:p>
    <w:p>
      <w:pPr>
        <w:ind w:firstLine="480" w:firstLineChars="200"/>
        <w:rPr>
          <w:rFonts w:ascii="宋体" w:hAnsi="宋体" w:cs="宋体"/>
          <w:sz w:val="24"/>
        </w:rPr>
      </w:pPr>
      <w:r>
        <w:rPr>
          <w:rFonts w:hint="eastAsia" w:ascii="宋体" w:hAnsi="宋体" w:cs="宋体"/>
          <w:sz w:val="24"/>
        </w:rPr>
        <w:t xml:space="preserve">          </w:t>
      </w:r>
      <w:r>
        <w:rPr>
          <w:rFonts w:hint="eastAsia" w:ascii="宋体" w:hAnsi="宋体" w:cs="宋体"/>
          <w:b/>
          <w:bCs/>
          <w:sz w:val="28"/>
          <w:szCs w:val="28"/>
        </w:rPr>
        <w:t xml:space="preserve"> </w:t>
      </w:r>
      <w:r>
        <w:rPr>
          <w:rFonts w:hint="eastAsia" w:cs="宋体"/>
          <w:b/>
          <w:bCs/>
          <w:sz w:val="28"/>
          <w:szCs w:val="28"/>
          <w:lang w:val="en-US" w:eastAsia="zh-CN"/>
        </w:rPr>
        <w:t xml:space="preserve">           </w:t>
      </w:r>
      <w:r>
        <w:rPr>
          <w:rFonts w:hint="eastAsia" w:ascii="宋体" w:hAnsi="宋体" w:cs="宋体"/>
          <w:b/>
          <w:bCs/>
          <w:sz w:val="28"/>
          <w:szCs w:val="28"/>
        </w:rPr>
        <w:t>（一）评标办法及金额年限</w:t>
      </w:r>
    </w:p>
    <w:p>
      <w:pPr>
        <w:pStyle w:val="11"/>
        <w:ind w:firstLine="0" w:firstLineChars="0"/>
        <w:rPr>
          <w:rFonts w:hint="eastAsia" w:ascii="宋体" w:hAnsi="宋体" w:eastAsia="微软雅黑" w:cs="宋体"/>
          <w:sz w:val="24"/>
          <w:lang w:val="en-US" w:eastAsia="zh-CN"/>
        </w:rPr>
      </w:pPr>
      <w:r>
        <w:rPr>
          <w:rFonts w:hint="eastAsia" w:ascii="宋体" w:hAnsi="宋体" w:cs="宋体"/>
          <w:b/>
          <w:bCs/>
          <w:sz w:val="24"/>
        </w:rPr>
        <w:t>1、评标办法</w:t>
      </w:r>
      <w:r>
        <w:rPr>
          <w:rFonts w:hint="eastAsia" w:ascii="宋体" w:hAnsi="宋体" w:cs="宋体"/>
          <w:sz w:val="24"/>
        </w:rPr>
        <w:t>：</w:t>
      </w:r>
      <w:r>
        <w:rPr>
          <w:rFonts w:hint="eastAsia" w:ascii="宋体" w:hAnsi="宋体" w:cs="宋体"/>
          <w:sz w:val="24"/>
          <w:lang w:eastAsia="zh-CN"/>
        </w:rPr>
        <w:t>综合评分</w:t>
      </w:r>
      <w:r>
        <w:rPr>
          <w:rFonts w:hint="eastAsia" w:cs="宋体"/>
          <w:kern w:val="0"/>
          <w:sz w:val="24"/>
          <w:lang w:val="en-US" w:eastAsia="zh-CN"/>
        </w:rPr>
        <w:t xml:space="preserve"> </w:t>
      </w:r>
      <w:r>
        <w:rPr>
          <w:rFonts w:hint="eastAsia" w:ascii="宋体" w:hAnsi="宋体" w:cs="宋体"/>
          <w:sz w:val="24"/>
        </w:rPr>
        <w:t>。</w:t>
      </w:r>
      <w:r>
        <w:rPr>
          <w:rFonts w:hint="eastAsia" w:cs="宋体"/>
          <w:sz w:val="24"/>
          <w:lang w:eastAsia="zh-CN"/>
        </w:rPr>
        <w:t>带样品：</w:t>
      </w:r>
      <w:r>
        <w:rPr>
          <w:rFonts w:hint="eastAsia" w:cs="宋体"/>
          <w:sz w:val="24"/>
          <w:lang w:val="en-US" w:eastAsia="zh-CN"/>
        </w:rPr>
        <w:t xml:space="preserve">(20CM*20CM </w:t>
      </w:r>
      <w:r>
        <w:rPr>
          <w:rFonts w:hint="eastAsia" w:ascii="微软雅黑" w:hAnsi="微软雅黑" w:eastAsia="微软雅黑" w:cs="微软雅黑"/>
          <w:b/>
          <w:sz w:val="28"/>
          <w:szCs w:val="28"/>
        </w:rPr>
        <w:t>复合亚克力人造石</w:t>
      </w:r>
      <w:r>
        <w:rPr>
          <w:rFonts w:hint="eastAsia" w:ascii="微软雅黑" w:hAnsi="微软雅黑" w:eastAsia="微软雅黑" w:cs="微软雅黑"/>
          <w:b/>
          <w:sz w:val="28"/>
          <w:szCs w:val="28"/>
          <w:lang w:eastAsia="zh-CN"/>
        </w:rPr>
        <w:t>一块）</w:t>
      </w:r>
    </w:p>
    <w:p>
      <w:pPr>
        <w:spacing w:line="480" w:lineRule="exact"/>
        <w:ind w:left="1928" w:hanging="1928" w:hangingChars="800"/>
        <w:rPr>
          <w:rFonts w:hint="eastAsia" w:ascii="宋体" w:hAnsi="宋体" w:cs="宋体"/>
          <w:sz w:val="24"/>
          <w:lang w:val="en-US" w:eastAsia="zh-CN"/>
        </w:rPr>
      </w:pPr>
      <w:r>
        <w:rPr>
          <w:rFonts w:hint="eastAsia" w:ascii="宋体" w:hAnsi="宋体" w:cs="宋体"/>
          <w:b/>
          <w:bCs/>
          <w:sz w:val="24"/>
        </w:rPr>
        <w:t>2、项目控制金额</w:t>
      </w:r>
      <w:r>
        <w:rPr>
          <w:rFonts w:hint="eastAsia" w:ascii="宋体" w:hAnsi="宋体" w:cs="宋体"/>
          <w:sz w:val="24"/>
        </w:rPr>
        <w:t>：</w:t>
      </w:r>
      <w:r>
        <w:rPr>
          <w:rFonts w:hint="eastAsia" w:cs="宋体"/>
          <w:sz w:val="24"/>
          <w:lang w:val="en-US" w:eastAsia="zh-CN"/>
        </w:rPr>
        <w:t>14.4万元</w:t>
      </w:r>
      <w:r>
        <w:rPr>
          <w:rFonts w:hint="eastAsia" w:ascii="宋体" w:hAnsi="宋体" w:cs="宋体"/>
          <w:sz w:val="24"/>
          <w:lang w:val="en-US" w:eastAsia="zh-CN"/>
        </w:rPr>
        <w:t xml:space="preserve"> 。</w:t>
      </w:r>
    </w:p>
    <w:p>
      <w:pPr>
        <w:spacing w:line="480" w:lineRule="exact"/>
        <w:ind w:left="1928" w:hanging="1928" w:hangingChars="800"/>
        <w:rPr>
          <w:rFonts w:hint="eastAsia" w:ascii="宋体" w:hAnsi="宋体" w:cs="宋体"/>
          <w:sz w:val="32"/>
          <w:szCs w:val="32"/>
        </w:rPr>
      </w:pPr>
      <w:r>
        <w:rPr>
          <w:rFonts w:hint="eastAsia" w:ascii="宋体" w:hAnsi="宋体" w:cs="宋体"/>
          <w:b/>
          <w:bCs/>
          <w:sz w:val="24"/>
        </w:rPr>
        <w:t>3、项目控制年限</w:t>
      </w:r>
      <w:r>
        <w:rPr>
          <w:rFonts w:hint="eastAsia" w:ascii="宋体" w:hAnsi="宋体" w:cs="宋体"/>
          <w:sz w:val="24"/>
        </w:rPr>
        <w:t>：</w:t>
      </w:r>
      <w:r>
        <w:rPr>
          <w:rFonts w:hint="eastAsia" w:cs="宋体"/>
          <w:sz w:val="24"/>
          <w:lang w:eastAsia="zh-CN"/>
        </w:rPr>
        <w:t>一次性</w:t>
      </w:r>
      <w:r>
        <w:rPr>
          <w:rFonts w:hint="eastAsia" w:ascii="宋体" w:hAnsi="宋体" w:cs="宋体"/>
          <w:sz w:val="24"/>
        </w:rPr>
        <w:t>。</w:t>
      </w:r>
      <w:r>
        <w:rPr>
          <w:rFonts w:hint="eastAsia" w:ascii="宋体" w:hAnsi="宋体" w:cs="宋体"/>
          <w:sz w:val="32"/>
          <w:szCs w:val="32"/>
        </w:rPr>
        <w:t xml:space="preserve"> </w:t>
      </w:r>
    </w:p>
    <w:p>
      <w:pPr>
        <w:spacing w:line="100" w:lineRule="atLeast"/>
        <w:ind w:firstLine="2100" w:firstLineChars="700"/>
        <w:rPr>
          <w:rFonts w:ascii="黑体" w:eastAsia="黑体"/>
          <w:sz w:val="30"/>
          <w:szCs w:val="30"/>
        </w:rPr>
      </w:pPr>
    </w:p>
    <w:p>
      <w:pPr>
        <w:spacing w:line="100" w:lineRule="atLeast"/>
        <w:ind w:firstLine="3290" w:firstLineChars="1300"/>
        <w:rPr>
          <w:rFonts w:hint="eastAsia" w:ascii="宋体" w:hAnsi="宋体"/>
          <w:b/>
          <w:bCs/>
          <w:spacing w:val="-14"/>
          <w:sz w:val="28"/>
          <w:szCs w:val="28"/>
        </w:rPr>
      </w:pPr>
      <w:r>
        <w:rPr>
          <w:rFonts w:hint="eastAsia" w:ascii="宋体" w:hAnsi="宋体"/>
          <w:b/>
          <w:bCs/>
          <w:spacing w:val="-14"/>
          <w:sz w:val="28"/>
          <w:szCs w:val="28"/>
        </w:rPr>
        <w:t>（ 二）服务要求</w:t>
      </w:r>
    </w:p>
    <w:p>
      <w:pPr>
        <w:spacing w:line="100" w:lineRule="atLeast"/>
        <w:ind w:firstLine="2240" w:firstLineChars="700"/>
        <w:rPr>
          <w:rFonts w:hint="eastAsia" w:ascii="宋体" w:hAnsi="宋体"/>
          <w:b/>
          <w:bCs/>
          <w:spacing w:val="-14"/>
          <w:sz w:val="28"/>
          <w:szCs w:val="28"/>
        </w:rPr>
      </w:pPr>
      <w:r>
        <w:rPr>
          <w:rFonts w:hint="eastAsia"/>
          <w:sz w:val="32"/>
          <w:szCs w:val="32"/>
        </w:rPr>
        <w:t xml:space="preserve"> </w:t>
      </w:r>
    </w:p>
    <w:p>
      <w:pPr>
        <w:pStyle w:val="11"/>
        <w:ind w:firstLine="240" w:firstLineChars="100"/>
        <w:rPr>
          <w:sz w:val="24"/>
        </w:rPr>
      </w:pPr>
      <w:r>
        <w:rPr>
          <w:rFonts w:hint="eastAsia" w:ascii="宋体" w:hAnsi="宋体"/>
          <w:sz w:val="24"/>
        </w:rPr>
        <w:t>1、</w:t>
      </w:r>
      <w:r>
        <w:rPr>
          <w:rFonts w:hint="eastAsia"/>
          <w:sz w:val="24"/>
          <w:lang w:eastAsia="zh-CN"/>
        </w:rPr>
        <w:t>资质要求：</w:t>
      </w:r>
      <w:r>
        <w:rPr>
          <w:rFonts w:hint="eastAsia" w:ascii="微软雅黑" w:hAnsi="微软雅黑" w:eastAsia="微软雅黑"/>
          <w:b/>
          <w:bCs w:val="0"/>
          <w:sz w:val="24"/>
          <w:szCs w:val="24"/>
          <w:lang w:val="en-US" w:eastAsia="zh-CN"/>
        </w:rPr>
        <w:t>营业执照经营范围包含钢制产品或相关类别</w:t>
      </w:r>
      <w:r>
        <w:rPr>
          <w:rFonts w:hint="eastAsia" w:ascii="微软雅黑" w:hAnsi="微软雅黑" w:eastAsia="微软雅黑" w:cs="仿宋"/>
          <w:b/>
          <w:bCs w:val="0"/>
          <w:color w:val="000000"/>
          <w:kern w:val="0"/>
          <w:sz w:val="24"/>
          <w:szCs w:val="24"/>
          <w:lang w:eastAsia="zh-CN"/>
        </w:rPr>
        <w:t>的</w:t>
      </w:r>
      <w:r>
        <w:rPr>
          <w:rFonts w:hint="eastAsia" w:ascii="微软雅黑" w:hAnsi="微软雅黑" w:eastAsia="微软雅黑"/>
          <w:b/>
          <w:bCs w:val="0"/>
          <w:sz w:val="24"/>
          <w:szCs w:val="24"/>
          <w:lang w:val="en-US" w:eastAsia="zh-CN"/>
        </w:rPr>
        <w:t>描述</w:t>
      </w:r>
      <w:r>
        <w:rPr>
          <w:rFonts w:hint="eastAsia"/>
          <w:sz w:val="24"/>
        </w:rPr>
        <w:t>。</w:t>
      </w:r>
    </w:p>
    <w:p>
      <w:pPr>
        <w:spacing w:line="360" w:lineRule="auto"/>
        <w:ind w:firstLine="240" w:firstLineChars="100"/>
        <w:rPr>
          <w:rFonts w:hint="eastAsia" w:ascii="宋体" w:hAnsi="宋体"/>
          <w:sz w:val="24"/>
        </w:rPr>
      </w:pPr>
      <w:r>
        <w:rPr>
          <w:rFonts w:hint="eastAsia" w:ascii="宋体" w:hAnsi="宋体"/>
          <w:sz w:val="24"/>
        </w:rPr>
        <w:t>2、凡供应的产品必须符合国家（行业）标准。售出的商品，属质量问题的，按国家商品</w:t>
      </w:r>
    </w:p>
    <w:p>
      <w:pPr>
        <w:spacing w:line="360" w:lineRule="auto"/>
        <w:ind w:firstLine="240" w:firstLineChars="100"/>
        <w:rPr>
          <w:rFonts w:hint="eastAsia" w:ascii="宋体" w:hAnsi="宋体"/>
          <w:sz w:val="24"/>
        </w:rPr>
      </w:pPr>
      <w:r>
        <w:rPr>
          <w:rFonts w:hint="eastAsia" w:ascii="宋体" w:hAnsi="宋体"/>
          <w:sz w:val="24"/>
        </w:rPr>
        <w:t>“三包”规定执行。</w:t>
      </w:r>
    </w:p>
    <w:p>
      <w:pPr>
        <w:spacing w:line="360" w:lineRule="auto"/>
        <w:ind w:firstLine="240" w:firstLineChars="100"/>
        <w:rPr>
          <w:rFonts w:hint="eastAsia" w:ascii="宋体" w:hAnsi="宋体"/>
          <w:sz w:val="24"/>
        </w:rPr>
      </w:pPr>
      <w:r>
        <w:rPr>
          <w:rFonts w:hint="eastAsia" w:ascii="宋体" w:hAnsi="宋体"/>
          <w:sz w:val="24"/>
        </w:rPr>
        <w:t>3、为了更好的服务各单位，根据要求，需及时将物品送到各单位指定地点。</w:t>
      </w:r>
    </w:p>
    <w:p>
      <w:pPr>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、如在使用过程中出现产品本身质量问题，承诺无条件退换。如因产品质量原因造成的</w:t>
      </w:r>
    </w:p>
    <w:p>
      <w:pPr>
        <w:spacing w:line="360" w:lineRule="auto"/>
        <w:ind w:firstLine="240" w:firstLineChars="100"/>
        <w:rPr>
          <w:rFonts w:hint="eastAsia" w:ascii="宋体" w:hAnsi="宋体"/>
          <w:sz w:val="24"/>
        </w:rPr>
      </w:pPr>
      <w:r>
        <w:rPr>
          <w:rFonts w:hint="eastAsia" w:ascii="宋体" w:hAnsi="宋体"/>
          <w:sz w:val="24"/>
        </w:rPr>
        <w:t>损害，由中标方承担一切后果。</w:t>
      </w:r>
    </w:p>
    <w:p>
      <w:pPr>
        <w:spacing w:line="360" w:lineRule="auto"/>
        <w:ind w:firstLine="360" w:firstLineChars="150"/>
        <w:rPr>
          <w:rFonts w:hint="eastAsia" w:ascii="宋体" w:hAnsi="宋体"/>
          <w:sz w:val="24"/>
        </w:rPr>
      </w:pPr>
    </w:p>
    <w:p>
      <w:pPr>
        <w:tabs>
          <w:tab w:val="left" w:pos="1050"/>
        </w:tabs>
        <w:spacing w:line="360" w:lineRule="auto"/>
        <w:ind w:firstLine="3654" w:firstLineChars="1300"/>
        <w:jc w:val="both"/>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w:t>
      </w:r>
    </w:p>
    <w:p>
      <w:pPr>
        <w:spacing w:line="360" w:lineRule="auto"/>
        <w:ind w:firstLine="480" w:firstLineChars="200"/>
        <w:rPr>
          <w:rFonts w:hint="eastAsia" w:ascii="宋体" w:hAnsi="宋体"/>
          <w:sz w:val="24"/>
        </w:rPr>
      </w:pPr>
      <w:r>
        <w:rPr>
          <w:rFonts w:hint="eastAsia" w:ascii="宋体" w:hAnsi="宋体"/>
          <w:sz w:val="24"/>
        </w:rPr>
        <w:t>配置应与招标文件中的要求及其投标文件中的技术响应</w:t>
      </w:r>
    </w:p>
    <w:p>
      <w:pPr>
        <w:spacing w:line="360" w:lineRule="auto"/>
        <w:ind w:firstLine="480" w:firstLineChars="200"/>
        <w:rPr>
          <w:rFonts w:hint="eastAsia" w:ascii="宋体" w:hAnsi="宋体"/>
          <w:sz w:val="24"/>
        </w:rPr>
      </w:pPr>
      <w:r>
        <w:rPr>
          <w:rFonts w:hint="eastAsia" w:ascii="宋体" w:hAnsi="宋体"/>
          <w:sz w:val="24"/>
        </w:rPr>
        <w:t>表（如果被评委会接受的话）相一致。若招标文件及投标响应文件中无相应说明，则以</w:t>
      </w:r>
    </w:p>
    <w:p>
      <w:pPr>
        <w:spacing w:line="360" w:lineRule="auto"/>
        <w:ind w:firstLine="480" w:firstLineChars="200"/>
        <w:rPr>
          <w:rFonts w:hint="eastAsia" w:ascii="宋体" w:hAnsi="宋体"/>
          <w:sz w:val="24"/>
        </w:rPr>
      </w:pPr>
      <w:r>
        <w:rPr>
          <w:rFonts w:hint="eastAsia" w:ascii="宋体" w:hAnsi="宋体"/>
          <w:sz w:val="24"/>
        </w:rPr>
        <w:t>国家有关部门最新颁布的相应标准及规范为准。</w:t>
      </w:r>
    </w:p>
    <w:p>
      <w:pPr>
        <w:numPr>
          <w:ilvl w:val="0"/>
          <w:numId w:val="2"/>
        </w:numPr>
        <w:spacing w:line="440" w:lineRule="exact"/>
        <w:ind w:firstLine="448" w:firstLineChars="187"/>
        <w:rPr>
          <w:rFonts w:hint="eastAsia" w:ascii="宋体" w:hAnsi="宋体"/>
          <w:sz w:val="24"/>
        </w:rPr>
      </w:pPr>
      <w:r>
        <w:rPr>
          <w:rFonts w:hint="eastAsia" w:ascii="宋体" w:hAnsi="宋体"/>
          <w:sz w:val="24"/>
        </w:rPr>
        <w:t>招标人和相关部门按照招标文件和投标文件承诺进行验收。招标文件没有规定和投标</w:t>
      </w:r>
    </w:p>
    <w:p>
      <w:pPr>
        <w:numPr>
          <w:ilvl w:val="0"/>
          <w:numId w:val="2"/>
        </w:numPr>
        <w:spacing w:line="440" w:lineRule="exact"/>
        <w:ind w:firstLine="448" w:firstLineChars="187"/>
        <w:rPr>
          <w:rFonts w:hint="eastAsia" w:ascii="宋体" w:hAnsi="宋体"/>
          <w:sz w:val="24"/>
        </w:rPr>
      </w:pPr>
      <w:r>
        <w:rPr>
          <w:rFonts w:hint="eastAsia" w:ascii="宋体" w:hAnsi="宋体"/>
          <w:sz w:val="24"/>
        </w:rPr>
        <w:t>文件没有相应承诺的，按照下列原则进行验收：有国家</w:t>
      </w:r>
    </w:p>
    <w:p>
      <w:pPr>
        <w:numPr>
          <w:ilvl w:val="0"/>
          <w:numId w:val="0"/>
        </w:numPr>
        <w:spacing w:line="440" w:lineRule="exact"/>
        <w:ind w:leftChars="187" w:right="0" w:rightChars="0"/>
        <w:rPr>
          <w:rFonts w:hint="eastAsia" w:ascii="宋体" w:hAnsi="宋体"/>
          <w:sz w:val="24"/>
        </w:rPr>
      </w:pPr>
      <w:r>
        <w:rPr>
          <w:rFonts w:hint="eastAsia" w:ascii="宋体" w:hAnsi="宋体"/>
          <w:sz w:val="24"/>
        </w:rPr>
        <w:t>标准的按照国家标准验收，没有国家标准的按行业标准验收，无行业标准的按地方或企</w:t>
      </w:r>
    </w:p>
    <w:p>
      <w:pPr>
        <w:numPr>
          <w:ilvl w:val="0"/>
          <w:numId w:val="0"/>
        </w:numPr>
        <w:spacing w:line="440" w:lineRule="exact"/>
        <w:ind w:leftChars="187" w:right="0" w:rightChars="0"/>
        <w:rPr>
          <w:rFonts w:hint="eastAsia" w:ascii="宋体" w:hAnsi="宋体"/>
          <w:sz w:val="24"/>
        </w:rPr>
      </w:pPr>
      <w:r>
        <w:rPr>
          <w:rFonts w:hint="eastAsia" w:ascii="宋体" w:hAnsi="宋体"/>
          <w:sz w:val="24"/>
        </w:rPr>
        <w:t>业标准验收，中标人予以配合。涉及安全、消防、环</w:t>
      </w:r>
    </w:p>
    <w:p>
      <w:pPr>
        <w:numPr>
          <w:ilvl w:val="0"/>
          <w:numId w:val="0"/>
        </w:numPr>
        <w:spacing w:line="440" w:lineRule="exact"/>
        <w:ind w:leftChars="187" w:right="0" w:rightChars="0"/>
        <w:rPr>
          <w:rFonts w:hint="eastAsia" w:ascii="宋体" w:hAnsi="宋体"/>
          <w:sz w:val="24"/>
        </w:rPr>
      </w:pPr>
      <w:r>
        <w:rPr>
          <w:rFonts w:hint="eastAsia" w:ascii="宋体" w:hAnsi="宋体"/>
          <w:sz w:val="24"/>
        </w:rPr>
        <w:t>保等需要由质检或行业主管部门验收的项目，招标人须约请相关部门和专家参加项目验</w:t>
      </w:r>
    </w:p>
    <w:p>
      <w:pPr>
        <w:numPr>
          <w:ilvl w:val="0"/>
          <w:numId w:val="0"/>
        </w:numPr>
        <w:spacing w:line="440" w:lineRule="exact"/>
        <w:ind w:leftChars="187" w:right="0" w:rightChars="0"/>
        <w:rPr>
          <w:rFonts w:hint="eastAsia" w:ascii="宋体" w:hAnsi="宋体"/>
          <w:sz w:val="24"/>
        </w:rPr>
      </w:pPr>
      <w:r>
        <w:rPr>
          <w:rFonts w:hint="eastAsia" w:ascii="宋体" w:hAnsi="宋体"/>
          <w:sz w:val="24"/>
        </w:rPr>
        <w:t>收。所有需要质检部门进行检测才能使用的货物，报</w:t>
      </w:r>
    </w:p>
    <w:p>
      <w:pPr>
        <w:numPr>
          <w:ilvl w:val="0"/>
          <w:numId w:val="0"/>
        </w:numPr>
        <w:spacing w:line="440" w:lineRule="exact"/>
        <w:ind w:leftChars="187" w:right="0" w:rightChars="0"/>
        <w:rPr>
          <w:rFonts w:hint="eastAsia" w:ascii="宋体" w:hAnsi="宋体"/>
          <w:sz w:val="24"/>
        </w:rPr>
      </w:pPr>
      <w:r>
        <w:rPr>
          <w:rFonts w:hint="eastAsia" w:ascii="宋体" w:hAnsi="宋体"/>
          <w:sz w:val="24"/>
        </w:rPr>
        <w:t>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7030A0"/>
          <w:sz w:val="24"/>
        </w:rPr>
        <w:t>5.1中标人需对所有货物提供至少</w:t>
      </w:r>
      <w:r>
        <w:rPr>
          <w:rFonts w:hint="eastAsia"/>
          <w:b/>
          <w:color w:val="7030A0"/>
          <w:sz w:val="24"/>
          <w:lang w:eastAsia="zh-CN"/>
        </w:rPr>
        <w:t>一</w:t>
      </w:r>
      <w:r>
        <w:rPr>
          <w:rFonts w:hint="eastAsia" w:ascii="宋体" w:hAnsi="宋体"/>
          <w:b/>
          <w:color w:val="7030A0"/>
          <w:sz w:val="24"/>
        </w:rPr>
        <w:t>年的免费质保服务，自验收合格之日起计算。</w:t>
      </w:r>
      <w:r>
        <w:rPr>
          <w:rFonts w:hint="eastAsia" w:ascii="宋体" w:hAnsi="宋体"/>
          <w:sz w:val="24"/>
        </w:rPr>
        <w:t>所有质</w:t>
      </w:r>
    </w:p>
    <w:p>
      <w:pPr>
        <w:spacing w:line="460" w:lineRule="exact"/>
        <w:ind w:firstLine="480" w:firstLineChars="200"/>
        <w:rPr>
          <w:rFonts w:hint="eastAsia" w:ascii="宋体" w:hAnsi="宋体"/>
          <w:sz w:val="24"/>
        </w:rPr>
      </w:pPr>
      <w:r>
        <w:rPr>
          <w:rFonts w:hint="eastAsia" w:ascii="宋体" w:hAnsi="宋体"/>
          <w:sz w:val="24"/>
        </w:rPr>
        <w:t>保费用均已包含在总报价中。</w:t>
      </w:r>
    </w:p>
    <w:p>
      <w:pPr>
        <w:spacing w:line="360" w:lineRule="auto"/>
        <w:ind w:firstLine="480" w:firstLineChars="200"/>
        <w:rPr>
          <w:rFonts w:hint="eastAsia" w:ascii="宋体" w:hAnsi="宋体"/>
          <w:sz w:val="24"/>
        </w:rPr>
      </w:pPr>
      <w:r>
        <w:rPr>
          <w:rFonts w:hint="eastAsia" w:ascii="宋体" w:hAnsi="宋体"/>
          <w:sz w:val="24"/>
        </w:rPr>
        <w:t>5.2售后服务响应时间：中标人需设有专门的售后服务队伍，建立完备的故障响应机制。</w:t>
      </w:r>
    </w:p>
    <w:p>
      <w:pPr>
        <w:spacing w:line="360" w:lineRule="auto"/>
        <w:ind w:firstLine="480" w:firstLineChars="200"/>
        <w:rPr>
          <w:rFonts w:hint="eastAsia" w:ascii="宋体" w:hAnsi="宋体"/>
          <w:sz w:val="24"/>
        </w:rPr>
      </w:pPr>
      <w:r>
        <w:rPr>
          <w:rFonts w:hint="eastAsia" w:ascii="宋体" w:hAnsi="宋体"/>
          <w:sz w:val="24"/>
        </w:rPr>
        <w:t>如货物出现质量问题，电话响应无法解决，中标人</w:t>
      </w:r>
    </w:p>
    <w:p>
      <w:pPr>
        <w:spacing w:line="360" w:lineRule="auto"/>
        <w:ind w:firstLine="480" w:firstLineChars="200"/>
        <w:rPr>
          <w:rFonts w:hint="eastAsia" w:ascii="宋体" w:hAnsi="宋体"/>
          <w:sz w:val="24"/>
        </w:rPr>
      </w:pPr>
      <w:r>
        <w:rPr>
          <w:rFonts w:hint="eastAsia" w:ascii="宋体" w:hAnsi="宋体"/>
          <w:sz w:val="24"/>
        </w:rPr>
        <w:t>必须在接到电话</w:t>
      </w:r>
      <w:r>
        <w:rPr>
          <w:rFonts w:hint="eastAsia" w:ascii="宋体" w:hAnsi="宋体"/>
          <w:b/>
          <w:color w:val="7030A0"/>
          <w:sz w:val="24"/>
        </w:rPr>
        <w:t>1小时内到达现场,24小时内解决问题</w:t>
      </w:r>
      <w:r>
        <w:rPr>
          <w:rFonts w:hint="eastAsia" w:ascii="宋体" w:hAnsi="宋体"/>
          <w:sz w:val="24"/>
        </w:rPr>
        <w:t xml:space="preserve">。   </w:t>
      </w:r>
    </w:p>
    <w:p>
      <w:pPr>
        <w:spacing w:line="360" w:lineRule="auto"/>
        <w:ind w:firstLine="360" w:firstLineChars="150"/>
        <w:rPr>
          <w:rFonts w:hint="eastAsia" w:ascii="宋体" w:hAnsi="宋体"/>
          <w:sz w:val="24"/>
        </w:rPr>
      </w:pPr>
      <w:r>
        <w:rPr>
          <w:rFonts w:hint="eastAsia" w:ascii="宋体" w:hAnsi="宋体"/>
          <w:sz w:val="24"/>
        </w:rPr>
        <w:t>5.3  服务期内由招标人对其服务质量进行考核,不合格可由招标人解除合同重新招标。</w:t>
      </w:r>
    </w:p>
    <w:p>
      <w:pPr>
        <w:pStyle w:val="11"/>
        <w:ind w:left="0" w:leftChars="0" w:firstLine="480" w:firstLineChars="200"/>
        <w:rPr>
          <w:spacing w:val="-12"/>
          <w:sz w:val="24"/>
        </w:rPr>
      </w:pPr>
      <w:r>
        <w:rPr>
          <w:rFonts w:hint="eastAsia" w:ascii="宋体" w:hAnsi="宋体"/>
          <w:sz w:val="24"/>
        </w:rPr>
        <w:t>6、</w:t>
      </w:r>
      <w:r>
        <w:rPr>
          <w:spacing w:val="-12"/>
          <w:sz w:val="24"/>
        </w:rPr>
        <w:t xml:space="preserve">付款方式：乙方供货并安装调试摆放完毕，自甲方验收合格之日起 </w:t>
      </w:r>
      <w:r>
        <w:rPr>
          <w:sz w:val="24"/>
        </w:rPr>
        <w:t>30</w:t>
      </w:r>
      <w:r>
        <w:rPr>
          <w:spacing w:val="-30"/>
          <w:sz w:val="24"/>
        </w:rPr>
        <w:t xml:space="preserve"> 日</w:t>
      </w:r>
      <w:r>
        <w:rPr>
          <w:spacing w:val="-24"/>
          <w:sz w:val="24"/>
        </w:rPr>
        <w:t>内支付合同总金额的</w:t>
      </w:r>
      <w:r>
        <w:rPr>
          <w:sz w:val="24"/>
        </w:rPr>
        <w:t>90%</w:t>
      </w:r>
      <w:r>
        <w:rPr>
          <w:spacing w:val="-12"/>
          <w:sz w:val="24"/>
        </w:rPr>
        <w:t>；</w:t>
      </w:r>
    </w:p>
    <w:p>
      <w:pPr>
        <w:pStyle w:val="11"/>
        <w:ind w:left="0" w:leftChars="0" w:firstLine="432" w:firstLineChars="200"/>
        <w:rPr>
          <w:spacing w:val="-12"/>
          <w:sz w:val="24"/>
        </w:rPr>
      </w:pPr>
      <w:r>
        <w:rPr>
          <w:spacing w:val="-12"/>
          <w:sz w:val="24"/>
        </w:rPr>
        <w:t>自甲方验收合格之日起满一年无质量及售后服务问题，</w:t>
      </w:r>
    </w:p>
    <w:p>
      <w:pPr>
        <w:pStyle w:val="11"/>
        <w:ind w:left="0" w:leftChars="0" w:firstLine="432" w:firstLineChars="200"/>
        <w:rPr>
          <w:rFonts w:hint="eastAsia" w:ascii="宋体" w:hAnsi="宋体"/>
          <w:sz w:val="28"/>
          <w:szCs w:val="28"/>
        </w:rPr>
      </w:pPr>
      <w:r>
        <w:rPr>
          <w:spacing w:val="-12"/>
          <w:sz w:val="24"/>
        </w:rPr>
        <w:t xml:space="preserve"> 30</w:t>
      </w:r>
      <w:r>
        <w:rPr>
          <w:spacing w:val="-13"/>
          <w:sz w:val="24"/>
        </w:rPr>
        <w:t xml:space="preserve"> 日内支付合同总金额的 </w:t>
      </w:r>
      <w:r>
        <w:rPr>
          <w:sz w:val="24"/>
        </w:rPr>
        <w:t>10%。</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lang w:val="en-US" w:eastAsia="zh-CN"/>
        </w:rPr>
        <w:t>7</w:t>
      </w:r>
      <w:r>
        <w:rPr>
          <w:rFonts w:hint="eastAsia" w:ascii="宋体" w:hAnsi="宋体"/>
          <w:sz w:val="24"/>
          <w:highlight w:val="yellow"/>
          <w:u w:val="single"/>
        </w:rPr>
        <w:t>日</w:t>
      </w:r>
      <w:r>
        <w:rPr>
          <w:rFonts w:hint="eastAsia" w:ascii="宋体" w:hAnsi="宋体"/>
          <w:sz w:val="24"/>
          <w:highlight w:val="yellow"/>
        </w:rPr>
        <w:t>内供货</w:t>
      </w:r>
      <w:r>
        <w:rPr>
          <w:rFonts w:hint="eastAsia" w:ascii="宋体" w:hAnsi="宋体"/>
          <w:sz w:val="24"/>
          <w:highlight w:val="yellow"/>
          <w:lang w:val="en-US" w:eastAsia="zh-CN"/>
        </w:rPr>
        <w:t>。</w:t>
      </w:r>
      <w:r>
        <w:rPr>
          <w:rFonts w:hint="eastAsia" w:ascii="宋体" w:hAnsi="宋体"/>
          <w:b/>
          <w:sz w:val="24"/>
        </w:rPr>
        <w:t xml:space="preserve"> </w:t>
      </w:r>
    </w:p>
    <w:p>
      <w:pPr>
        <w:pStyle w:val="2"/>
        <w:rPr>
          <w:rFonts w:hint="eastAsia" w:ascii="宋体" w:hAnsi="宋体" w:eastAsia="宋体"/>
          <w:b/>
          <w:sz w:val="24"/>
          <w:lang w:eastAsia="zh-CN"/>
        </w:rPr>
        <w:sectPr>
          <w:pgSz w:w="11910" w:h="16840"/>
          <w:pgMar w:top="0" w:right="280" w:bottom="840" w:left="1100" w:header="720" w:footer="720" w:gutter="0"/>
          <w:cols w:space="720" w:num="1"/>
        </w:sectPr>
      </w:pPr>
    </w:p>
    <w:p>
      <w:pPr>
        <w:spacing w:before="90" w:line="369" w:lineRule="auto"/>
        <w:ind w:right="265" w:firstLine="4006" w:firstLineChars="1400"/>
        <w:jc w:val="left"/>
        <w:rPr>
          <w:b/>
          <w:w w:val="95"/>
          <w:sz w:val="30"/>
          <w:szCs w:val="30"/>
        </w:rPr>
      </w:pPr>
      <w:r>
        <w:rPr>
          <w:rFonts w:hint="eastAsia"/>
          <w:b/>
          <w:w w:val="95"/>
          <w:sz w:val="30"/>
          <w:szCs w:val="30"/>
        </w:rPr>
        <w:t>二、招标清单：</w:t>
      </w:r>
    </w:p>
    <w:tbl>
      <w:tblPr>
        <w:tblStyle w:val="5"/>
        <w:tblW w:w="5000" w:type="pct"/>
        <w:tblInd w:w="0" w:type="dxa"/>
        <w:tblLayout w:type="autofit"/>
        <w:tblCellMar>
          <w:top w:w="0" w:type="dxa"/>
          <w:left w:w="108" w:type="dxa"/>
          <w:bottom w:w="0" w:type="dxa"/>
          <w:right w:w="108" w:type="dxa"/>
        </w:tblCellMar>
      </w:tblPr>
      <w:tblGrid>
        <w:gridCol w:w="478"/>
        <w:gridCol w:w="494"/>
        <w:gridCol w:w="849"/>
        <w:gridCol w:w="2761"/>
        <w:gridCol w:w="707"/>
        <w:gridCol w:w="778"/>
        <w:gridCol w:w="795"/>
        <w:gridCol w:w="530"/>
        <w:gridCol w:w="682"/>
        <w:gridCol w:w="514"/>
        <w:gridCol w:w="1860"/>
      </w:tblGrid>
      <w:tr>
        <w:tblPrEx>
          <w:tblCellMar>
            <w:top w:w="0" w:type="dxa"/>
            <w:left w:w="108" w:type="dxa"/>
            <w:bottom w:w="0" w:type="dxa"/>
            <w:right w:w="108" w:type="dxa"/>
          </w:tblCellMar>
        </w:tblPrEx>
        <w:trPr>
          <w:trHeight w:val="900" w:hRule="atLeast"/>
        </w:trPr>
        <w:tc>
          <w:tcPr>
            <w:tcW w:w="5000" w:type="pct"/>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马鞍山市人民医院秀山医院病理等科室增补产品招标清单</w:t>
            </w:r>
          </w:p>
        </w:tc>
      </w:tr>
      <w:tr>
        <w:tblPrEx>
          <w:tblCellMar>
            <w:top w:w="0" w:type="dxa"/>
            <w:left w:w="108" w:type="dxa"/>
            <w:bottom w:w="0" w:type="dxa"/>
            <w:right w:w="108" w:type="dxa"/>
          </w:tblCellMar>
        </w:tblPrEx>
        <w:trPr>
          <w:trHeight w:val="321" w:hRule="atLeast"/>
        </w:trPr>
        <w:tc>
          <w:tcPr>
            <w:tcW w:w="22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楼层</w:t>
            </w: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序号</w:t>
            </w:r>
          </w:p>
        </w:tc>
        <w:tc>
          <w:tcPr>
            <w:tcW w:w="40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房间/位置</w:t>
            </w:r>
          </w:p>
        </w:tc>
        <w:tc>
          <w:tcPr>
            <w:tcW w:w="132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产品名称</w:t>
            </w:r>
          </w:p>
        </w:tc>
        <w:tc>
          <w:tcPr>
            <w:tcW w:w="109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规格尺寸（mm）</w:t>
            </w:r>
          </w:p>
        </w:tc>
        <w:tc>
          <w:tcPr>
            <w:tcW w:w="254"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单位</w:t>
            </w:r>
          </w:p>
        </w:tc>
        <w:tc>
          <w:tcPr>
            <w:tcW w:w="32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长度</w:t>
            </w:r>
          </w:p>
        </w:tc>
        <w:tc>
          <w:tcPr>
            <w:tcW w:w="246"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数量</w:t>
            </w:r>
          </w:p>
        </w:tc>
        <w:tc>
          <w:tcPr>
            <w:tcW w:w="890"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备注</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1322"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339" w:type="pct"/>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长</w:t>
            </w:r>
          </w:p>
        </w:tc>
        <w:tc>
          <w:tcPr>
            <w:tcW w:w="373" w:type="pct"/>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宽</w:t>
            </w:r>
          </w:p>
        </w:tc>
        <w:tc>
          <w:tcPr>
            <w:tcW w:w="381" w:type="pct"/>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高</w:t>
            </w:r>
          </w:p>
        </w:tc>
        <w:tc>
          <w:tcPr>
            <w:tcW w:w="254"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322"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46"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890"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321" w:hRule="atLeast"/>
        </w:trPr>
        <w:tc>
          <w:tcPr>
            <w:tcW w:w="22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2F</w:t>
            </w: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1</w:t>
            </w:r>
          </w:p>
        </w:tc>
        <w:tc>
          <w:tcPr>
            <w:tcW w:w="40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药房</w:t>
            </w: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医用环保治疗台（下）（不带门板）</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3080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1105</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3.08</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医用环保治疗台台面</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3080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570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45</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3.08</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kern w:val="0"/>
                <w:sz w:val="20"/>
                <w:szCs w:val="20"/>
              </w:rPr>
            </w:pPr>
            <w:r>
              <w:rPr>
                <w:rFonts w:hint="eastAsia" w:ascii="微软雅黑" w:hAnsi="微软雅黑" w:eastAsia="微软雅黑" w:cs="宋体"/>
                <w:kern w:val="0"/>
                <w:sz w:val="20"/>
                <w:szCs w:val="20"/>
              </w:rPr>
              <w:t>12.7mm厚实芯理化板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亚克力挡水</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650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550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400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套</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亚克力板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外饰板</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3080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875</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3.08</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腰带</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3080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3.08</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304不锈钢踢脚线</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6121</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6.121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 不锈钢板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2</w:t>
            </w:r>
          </w:p>
        </w:tc>
        <w:tc>
          <w:tcPr>
            <w:tcW w:w="40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抢救室</w:t>
            </w: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无菌货柜</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1200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2000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1.2</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304不锈钢踢脚线</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1200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1.2</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 不锈钢板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40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注射室</w:t>
            </w: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医用环保无菌物品壁柜（吊柜）</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2850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350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600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2.85</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医用环保处置台（下）一</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2850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570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835</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2.85</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医用环保处置台（下）二</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2600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570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780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2.6</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医用环保处置台台面</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5510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25.4</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5.51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kern w:val="0"/>
                <w:sz w:val="20"/>
                <w:szCs w:val="20"/>
              </w:rPr>
            </w:pPr>
            <w:r>
              <w:rPr>
                <w:rFonts w:hint="eastAsia" w:ascii="微软雅黑" w:hAnsi="微软雅黑" w:eastAsia="微软雅黑" w:cs="宋体"/>
                <w:kern w:val="0"/>
                <w:sz w:val="20"/>
                <w:szCs w:val="20"/>
              </w:rPr>
              <w:t>12.7mm厚实芯理化板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垃圾桶及垃圾盖</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540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套</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ABS</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304不锈钢踢脚线</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5250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5.25</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 不锈钢板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40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输液室</w:t>
            </w: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医用环保无菌物品壁柜（吊柜）</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3870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350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600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3.87</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医用环保处置台（下）一</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3870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570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835</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3.87</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医用环保处置台（下）二</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2600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570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780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2.6</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医用环保处置台台面</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6530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25.4</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6.53</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kern w:val="0"/>
                <w:sz w:val="20"/>
                <w:szCs w:val="20"/>
              </w:rPr>
            </w:pPr>
            <w:r>
              <w:rPr>
                <w:rFonts w:hint="eastAsia" w:ascii="微软雅黑" w:hAnsi="微软雅黑" w:eastAsia="微软雅黑" w:cs="宋体"/>
                <w:kern w:val="0"/>
                <w:sz w:val="20"/>
                <w:szCs w:val="20"/>
              </w:rPr>
              <w:t>12.7mm厚实芯理化板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垃圾桶及垃圾盖</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540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套</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ABS</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304不锈钢踢脚线</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5250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5.25</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 不锈钢板</w:t>
            </w:r>
          </w:p>
        </w:tc>
      </w:tr>
      <w:tr>
        <w:tblPrEx>
          <w:tblCellMar>
            <w:top w:w="0" w:type="dxa"/>
            <w:left w:w="108" w:type="dxa"/>
            <w:bottom w:w="0" w:type="dxa"/>
            <w:right w:w="108" w:type="dxa"/>
          </w:tblCellMar>
        </w:tblPrEx>
        <w:trPr>
          <w:trHeight w:val="321" w:hRule="atLeast"/>
        </w:trPr>
        <w:tc>
          <w:tcPr>
            <w:tcW w:w="22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3F</w:t>
            </w: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1</w:t>
            </w:r>
          </w:p>
        </w:tc>
        <w:tc>
          <w:tcPr>
            <w:tcW w:w="407"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病理科</w:t>
            </w: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医用环保治疗台（下）</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570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835</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0.8</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1.0mm厚  电解钢板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医用环保治疗台台面</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860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750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25.4</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0.86</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kern w:val="0"/>
                <w:sz w:val="20"/>
                <w:szCs w:val="20"/>
              </w:rPr>
            </w:pPr>
            <w:r>
              <w:rPr>
                <w:rFonts w:hint="eastAsia" w:ascii="微软雅黑" w:hAnsi="微软雅黑" w:eastAsia="微软雅黑" w:cs="宋体"/>
                <w:kern w:val="0"/>
                <w:sz w:val="20"/>
                <w:szCs w:val="20"/>
              </w:rPr>
              <w:t>12.7mm厚实芯理化板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高抛式水龙头及水槽(中号)</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200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套</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304不锈钢</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亚克力挡水</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650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550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400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套</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亚克力板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三眼水龙头</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套</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洗眼器</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套</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304不锈钢</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304不锈钢踢脚线</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米</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0.8</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 不锈钢板</w:t>
            </w:r>
          </w:p>
        </w:tc>
      </w:tr>
      <w:tr>
        <w:tblPrEx>
          <w:tblCellMar>
            <w:top w:w="0" w:type="dxa"/>
            <w:left w:w="108" w:type="dxa"/>
            <w:bottom w:w="0" w:type="dxa"/>
            <w:right w:w="108" w:type="dxa"/>
          </w:tblCellMar>
        </w:tblPrEx>
        <w:trPr>
          <w:trHeight w:val="321" w:hRule="atLeast"/>
        </w:trPr>
        <w:tc>
          <w:tcPr>
            <w:tcW w:w="229"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23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b/>
                <w:bCs/>
                <w:color w:val="000000"/>
                <w:kern w:val="0"/>
                <w:sz w:val="18"/>
                <w:szCs w:val="18"/>
              </w:rPr>
            </w:pPr>
          </w:p>
        </w:tc>
        <w:tc>
          <w:tcPr>
            <w:tcW w:w="407" w:type="pct"/>
            <w:vMerge w:val="continue"/>
            <w:tcBorders>
              <w:top w:val="nil"/>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000000"/>
                <w:kern w:val="0"/>
                <w:sz w:val="18"/>
                <w:szCs w:val="18"/>
              </w:rPr>
            </w:pPr>
          </w:p>
        </w:tc>
        <w:tc>
          <w:tcPr>
            <w:tcW w:w="1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通风柜</w:t>
            </w:r>
          </w:p>
        </w:tc>
        <w:tc>
          <w:tcPr>
            <w:tcW w:w="339"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1200</w:t>
            </w:r>
          </w:p>
        </w:tc>
        <w:tc>
          <w:tcPr>
            <w:tcW w:w="373"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850</w:t>
            </w:r>
          </w:p>
        </w:tc>
        <w:tc>
          <w:tcPr>
            <w:tcW w:w="381"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2350</w:t>
            </w:r>
          </w:p>
        </w:tc>
        <w:tc>
          <w:tcPr>
            <w:tcW w:w="254"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套</w:t>
            </w:r>
          </w:p>
        </w:tc>
        <w:tc>
          <w:tcPr>
            <w:tcW w:w="322"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246" w:type="pct"/>
            <w:tcBorders>
              <w:top w:val="nil"/>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890" w:type="pct"/>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1.0mm 冷轧钢板</w:t>
            </w:r>
          </w:p>
        </w:tc>
      </w:tr>
    </w:tbl>
    <w:p/>
    <w:p>
      <w:pPr>
        <w:spacing w:before="90" w:line="369" w:lineRule="auto"/>
        <w:ind w:right="265"/>
        <w:jc w:val="left"/>
        <w:rPr>
          <w:rFonts w:hint="eastAsia"/>
          <w:b/>
          <w:w w:val="95"/>
          <w:sz w:val="30"/>
          <w:szCs w:val="30"/>
        </w:rPr>
      </w:pPr>
    </w:p>
    <w:p>
      <w:pPr>
        <w:spacing w:before="90" w:line="369" w:lineRule="auto"/>
        <w:ind w:right="265" w:firstLine="1431" w:firstLineChars="500"/>
        <w:jc w:val="left"/>
        <w:rPr>
          <w:b/>
          <w:w w:val="95"/>
          <w:sz w:val="30"/>
          <w:szCs w:val="30"/>
        </w:rPr>
      </w:pPr>
      <w:r>
        <w:rPr>
          <w:rFonts w:hint="eastAsia"/>
          <w:b/>
          <w:w w:val="95"/>
          <w:sz w:val="30"/>
          <w:szCs w:val="30"/>
          <w:lang w:val="en-US" w:eastAsia="zh-CN"/>
        </w:rPr>
        <w:t xml:space="preserve">               </w:t>
      </w:r>
      <w:r>
        <w:rPr>
          <w:rFonts w:hint="eastAsia"/>
          <w:b/>
          <w:w w:val="95"/>
          <w:sz w:val="30"/>
          <w:szCs w:val="30"/>
        </w:rPr>
        <w:t>产品技术参数要求：</w:t>
      </w:r>
    </w:p>
    <w:tbl>
      <w:tblPr>
        <w:tblStyle w:val="5"/>
        <w:tblW w:w="5004" w:type="pct"/>
        <w:tblInd w:w="-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
        <w:gridCol w:w="734"/>
        <w:gridCol w:w="849"/>
        <w:gridCol w:w="8654"/>
        <w:gridCol w:w="1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552" w:hRule="atLeast"/>
        </w:trPr>
        <w:tc>
          <w:tcPr>
            <w:tcW w:w="358" w:type="pct"/>
            <w:vAlign w:val="center"/>
          </w:tcPr>
          <w:p>
            <w:pPr>
              <w:pStyle w:val="7"/>
              <w:spacing w:before="120"/>
              <w:jc w:val="left"/>
              <w:rPr>
                <w:b/>
                <w:sz w:val="24"/>
                <w:szCs w:val="24"/>
              </w:rPr>
            </w:pPr>
            <w:r>
              <w:rPr>
                <w:b/>
                <w:sz w:val="24"/>
                <w:szCs w:val="24"/>
              </w:rPr>
              <w:t>品名</w:t>
            </w:r>
          </w:p>
        </w:tc>
        <w:tc>
          <w:tcPr>
            <w:tcW w:w="414" w:type="pct"/>
            <w:vAlign w:val="center"/>
          </w:tcPr>
          <w:p>
            <w:pPr>
              <w:pStyle w:val="7"/>
              <w:spacing w:before="120"/>
              <w:jc w:val="left"/>
              <w:rPr>
                <w:b/>
                <w:sz w:val="24"/>
                <w:szCs w:val="24"/>
              </w:rPr>
            </w:pPr>
            <w:r>
              <w:rPr>
                <w:b/>
                <w:sz w:val="24"/>
                <w:szCs w:val="24"/>
              </w:rPr>
              <w:t>技术</w:t>
            </w:r>
          </w:p>
          <w:p>
            <w:pPr>
              <w:pStyle w:val="7"/>
              <w:spacing w:before="120"/>
              <w:jc w:val="left"/>
              <w:rPr>
                <w:b/>
                <w:sz w:val="24"/>
                <w:szCs w:val="24"/>
              </w:rPr>
            </w:pPr>
            <w:r>
              <w:rPr>
                <w:b/>
                <w:sz w:val="24"/>
                <w:szCs w:val="24"/>
              </w:rPr>
              <w:t>类别</w:t>
            </w:r>
          </w:p>
        </w:tc>
        <w:tc>
          <w:tcPr>
            <w:tcW w:w="4219" w:type="pct"/>
            <w:vAlign w:val="center"/>
          </w:tcPr>
          <w:p>
            <w:pPr>
              <w:pStyle w:val="7"/>
              <w:spacing w:before="120"/>
              <w:ind w:left="1914" w:firstLine="482" w:firstLineChars="200"/>
              <w:jc w:val="left"/>
              <w:rPr>
                <w:b/>
                <w:sz w:val="24"/>
                <w:szCs w:val="24"/>
              </w:rPr>
            </w:pPr>
            <w:r>
              <w:rPr>
                <w:b/>
                <w:sz w:val="24"/>
                <w:szCs w:val="24"/>
              </w:rPr>
              <w:t>主材及产品详细技术要求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90" w:hRule="atLeast"/>
        </w:trPr>
        <w:tc>
          <w:tcPr>
            <w:tcW w:w="358" w:type="pct"/>
            <w:vMerge w:val="restart"/>
            <w:vAlign w:val="center"/>
          </w:tcPr>
          <w:p>
            <w:pPr>
              <w:pStyle w:val="7"/>
              <w:spacing w:line="280" w:lineRule="auto"/>
              <w:ind w:right="155"/>
              <w:rPr>
                <w:b/>
                <w:sz w:val="24"/>
                <w:szCs w:val="24"/>
              </w:rPr>
            </w:pPr>
            <w:r>
              <w:rPr>
                <w:b/>
                <w:sz w:val="24"/>
                <w:szCs w:val="24"/>
              </w:rPr>
              <w:t>钢质医用台柜产品</w:t>
            </w:r>
          </w:p>
        </w:tc>
        <w:tc>
          <w:tcPr>
            <w:tcW w:w="414" w:type="pct"/>
            <w:vAlign w:val="center"/>
          </w:tcPr>
          <w:p>
            <w:pPr>
              <w:pStyle w:val="7"/>
              <w:spacing w:before="150"/>
              <w:jc w:val="left"/>
              <w:rPr>
                <w:sz w:val="24"/>
                <w:szCs w:val="24"/>
              </w:rPr>
            </w:pPr>
            <w:r>
              <w:rPr>
                <w:sz w:val="24"/>
                <w:szCs w:val="24"/>
              </w:rPr>
              <w:t>产品</w:t>
            </w:r>
          </w:p>
          <w:p>
            <w:pPr>
              <w:pStyle w:val="7"/>
              <w:spacing w:before="150"/>
              <w:jc w:val="left"/>
              <w:rPr>
                <w:sz w:val="24"/>
                <w:szCs w:val="24"/>
              </w:rPr>
            </w:pPr>
            <w:r>
              <w:rPr>
                <w:sz w:val="24"/>
                <w:szCs w:val="24"/>
              </w:rPr>
              <w:t>范围</w:t>
            </w:r>
          </w:p>
        </w:tc>
        <w:tc>
          <w:tcPr>
            <w:tcW w:w="4219" w:type="pct"/>
            <w:vAlign w:val="center"/>
          </w:tcPr>
          <w:p>
            <w:pPr>
              <w:pStyle w:val="7"/>
              <w:spacing w:before="16" w:line="235" w:lineRule="exact"/>
              <w:ind w:left="111"/>
              <w:jc w:val="left"/>
              <w:rPr>
                <w:sz w:val="24"/>
                <w:szCs w:val="24"/>
              </w:rPr>
            </w:pPr>
            <w:r>
              <w:rPr>
                <w:rFonts w:hint="eastAsia"/>
                <w:sz w:val="24"/>
                <w:szCs w:val="24"/>
              </w:rPr>
              <w:t xml:space="preserve">               药房、抢救室、注射室、输液室、病理科等台柜产品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1396" w:hRule="atLeast"/>
        </w:trPr>
        <w:tc>
          <w:tcPr>
            <w:tcW w:w="358" w:type="pct"/>
            <w:vMerge w:val="continue"/>
            <w:vAlign w:val="center"/>
          </w:tcPr>
          <w:p>
            <w:pPr>
              <w:rPr>
                <w:rFonts w:ascii="宋体" w:hAnsi="宋体"/>
                <w:sz w:val="24"/>
                <w:szCs w:val="24"/>
              </w:rPr>
            </w:pPr>
          </w:p>
        </w:tc>
        <w:tc>
          <w:tcPr>
            <w:tcW w:w="414" w:type="pct"/>
            <w:vAlign w:val="center"/>
          </w:tcPr>
          <w:p>
            <w:pPr>
              <w:pStyle w:val="7"/>
              <w:jc w:val="left"/>
              <w:rPr>
                <w:sz w:val="24"/>
                <w:szCs w:val="24"/>
              </w:rPr>
            </w:pPr>
            <w:r>
              <w:rPr>
                <w:sz w:val="24"/>
                <w:szCs w:val="24"/>
              </w:rPr>
              <w:t>钢板</w:t>
            </w:r>
          </w:p>
          <w:p>
            <w:pPr>
              <w:pStyle w:val="7"/>
              <w:jc w:val="left"/>
              <w:rPr>
                <w:sz w:val="24"/>
                <w:szCs w:val="24"/>
              </w:rPr>
            </w:pPr>
            <w:r>
              <w:rPr>
                <w:sz w:val="24"/>
                <w:szCs w:val="24"/>
              </w:rPr>
              <w:t>喷涂</w:t>
            </w:r>
          </w:p>
        </w:tc>
        <w:tc>
          <w:tcPr>
            <w:tcW w:w="4219" w:type="pct"/>
            <w:vAlign w:val="center"/>
          </w:tcPr>
          <w:p>
            <w:pPr>
              <w:pStyle w:val="7"/>
              <w:spacing w:line="249" w:lineRule="auto"/>
              <w:ind w:left="111" w:right="-29"/>
              <w:jc w:val="left"/>
              <w:rPr>
                <w:spacing w:val="-7"/>
                <w:sz w:val="24"/>
                <w:szCs w:val="24"/>
              </w:rPr>
            </w:pPr>
            <w:r>
              <w:rPr>
                <w:spacing w:val="-7"/>
                <w:sz w:val="24"/>
                <w:szCs w:val="24"/>
              </w:rPr>
              <w:t>电解钢板表面需采用环保室内型环氧树脂静电粉末喷涂，涂层厚度 80-90um，喷塑涂层性能需达到国标 GB 24820-2009《实验室家具通用技术条件》标准要求：硬度需≥H 级,冲击强度后应无剥落、裂纹、皱纹；耐腐蚀性不低于 7 级。表面喷涂颜色合同签订后根据招标人要求，且此项调整不得变更合同金额。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90" w:hRule="atLeast"/>
        </w:trPr>
        <w:tc>
          <w:tcPr>
            <w:tcW w:w="358" w:type="pct"/>
            <w:vMerge w:val="continue"/>
            <w:vAlign w:val="center"/>
          </w:tcPr>
          <w:p>
            <w:pPr>
              <w:rPr>
                <w:rFonts w:ascii="宋体" w:hAnsi="宋体"/>
                <w:sz w:val="24"/>
                <w:szCs w:val="24"/>
              </w:rPr>
            </w:pPr>
          </w:p>
        </w:tc>
        <w:tc>
          <w:tcPr>
            <w:tcW w:w="414" w:type="pct"/>
            <w:vAlign w:val="center"/>
          </w:tcPr>
          <w:p>
            <w:pPr>
              <w:pStyle w:val="7"/>
              <w:jc w:val="left"/>
              <w:rPr>
                <w:sz w:val="24"/>
                <w:szCs w:val="24"/>
              </w:rPr>
            </w:pPr>
            <w:r>
              <w:rPr>
                <w:sz w:val="24"/>
                <w:szCs w:val="24"/>
              </w:rPr>
              <w:t>台面</w:t>
            </w:r>
          </w:p>
          <w:p>
            <w:pPr>
              <w:pStyle w:val="7"/>
              <w:jc w:val="left"/>
              <w:rPr>
                <w:sz w:val="24"/>
                <w:szCs w:val="24"/>
              </w:rPr>
            </w:pPr>
            <w:r>
              <w:rPr>
                <w:sz w:val="24"/>
                <w:szCs w:val="24"/>
              </w:rPr>
              <w:t>材质</w:t>
            </w:r>
          </w:p>
        </w:tc>
        <w:tc>
          <w:tcPr>
            <w:tcW w:w="4219" w:type="pct"/>
            <w:vAlign w:val="center"/>
          </w:tcPr>
          <w:p>
            <w:pPr>
              <w:spacing w:line="440" w:lineRule="exact"/>
              <w:jc w:val="left"/>
              <w:rPr>
                <w:rFonts w:ascii="宋体" w:hAnsi="宋体" w:cs="宋体"/>
                <w:spacing w:val="-7"/>
                <w:sz w:val="24"/>
                <w:szCs w:val="24"/>
              </w:rPr>
            </w:pPr>
            <w:r>
              <w:rPr>
                <w:rFonts w:hint="eastAsia" w:ascii="宋体" w:hAnsi="宋体" w:cs="宋体"/>
                <w:spacing w:val="-7"/>
                <w:sz w:val="24"/>
                <w:szCs w:val="24"/>
              </w:rPr>
              <w:t>柜体台面采用实芯理化板制作，板材厚度≥12.7mm，板材背面必须具有不可擦洗（磨灭）的防伪标识，板材原材料需为进口产品，台面颜色中标后根据业主要求且此项调整不得变更全费用单价；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1118" w:hRule="atLeast"/>
        </w:trPr>
        <w:tc>
          <w:tcPr>
            <w:tcW w:w="358" w:type="pct"/>
            <w:vMerge w:val="continue"/>
            <w:vAlign w:val="center"/>
          </w:tcPr>
          <w:p>
            <w:pPr>
              <w:rPr>
                <w:rFonts w:ascii="宋体" w:hAnsi="宋体"/>
                <w:sz w:val="24"/>
                <w:szCs w:val="24"/>
              </w:rPr>
            </w:pPr>
          </w:p>
        </w:tc>
        <w:tc>
          <w:tcPr>
            <w:tcW w:w="414" w:type="pct"/>
            <w:vMerge w:val="restart"/>
            <w:vAlign w:val="center"/>
          </w:tcPr>
          <w:p>
            <w:pPr>
              <w:pStyle w:val="7"/>
              <w:jc w:val="left"/>
              <w:rPr>
                <w:sz w:val="24"/>
                <w:szCs w:val="24"/>
              </w:rPr>
            </w:pPr>
            <w:r>
              <w:rPr>
                <w:sz w:val="24"/>
                <w:szCs w:val="24"/>
              </w:rPr>
              <w:t>台面</w:t>
            </w:r>
          </w:p>
          <w:p>
            <w:pPr>
              <w:pStyle w:val="7"/>
              <w:jc w:val="left"/>
              <w:rPr>
                <w:sz w:val="24"/>
                <w:szCs w:val="24"/>
              </w:rPr>
            </w:pPr>
            <w:r>
              <w:rPr>
                <w:sz w:val="24"/>
                <w:szCs w:val="24"/>
              </w:rPr>
              <w:t>性能</w:t>
            </w:r>
          </w:p>
        </w:tc>
        <w:tc>
          <w:tcPr>
            <w:tcW w:w="4219" w:type="pct"/>
            <w:vAlign w:val="center"/>
          </w:tcPr>
          <w:p>
            <w:pPr>
              <w:spacing w:line="440" w:lineRule="exact"/>
              <w:jc w:val="left"/>
              <w:rPr>
                <w:rFonts w:ascii="宋体" w:hAnsi="宋体" w:cs="宋体"/>
                <w:spacing w:val="-7"/>
                <w:sz w:val="24"/>
                <w:szCs w:val="24"/>
              </w:rPr>
            </w:pPr>
            <w:r>
              <w:rPr>
                <w:rFonts w:hint="eastAsia" w:ascii="宋体" w:hAnsi="宋体" w:cs="宋体"/>
                <w:spacing w:val="-7"/>
                <w:sz w:val="24"/>
                <w:szCs w:val="24"/>
              </w:rPr>
              <w:t>1) 台面表面耐污染性能需符合国标GB/T17657-2013《人造板及饰面人造板理化性能试验方法》标准，达到在室温24小时覆盖或不覆盖玻璃板条件下至少能耐54项实验室常用浓度化学试剂测试且结果需全部达到5级要求；需提供省级或省级以上质量监督检验机构或有资质的第三方检测机构出具的检测报告，检测报告均有“ CNAS“和” CMA“ 标志。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1110" w:hRule="atLeast"/>
        </w:trPr>
        <w:tc>
          <w:tcPr>
            <w:tcW w:w="358" w:type="pct"/>
            <w:vMerge w:val="continue"/>
            <w:vAlign w:val="center"/>
          </w:tcPr>
          <w:p>
            <w:pPr>
              <w:rPr>
                <w:rFonts w:ascii="宋体" w:hAnsi="宋体"/>
                <w:sz w:val="24"/>
                <w:szCs w:val="24"/>
              </w:rPr>
            </w:pPr>
          </w:p>
        </w:tc>
        <w:tc>
          <w:tcPr>
            <w:tcW w:w="414" w:type="pct"/>
            <w:vMerge w:val="continue"/>
            <w:vAlign w:val="center"/>
          </w:tcPr>
          <w:p>
            <w:pPr>
              <w:rPr>
                <w:rFonts w:ascii="宋体" w:hAnsi="宋体"/>
                <w:sz w:val="24"/>
                <w:szCs w:val="24"/>
              </w:rPr>
            </w:pPr>
          </w:p>
        </w:tc>
        <w:tc>
          <w:tcPr>
            <w:tcW w:w="4219" w:type="pct"/>
            <w:vAlign w:val="center"/>
          </w:tcPr>
          <w:p>
            <w:pPr>
              <w:spacing w:line="440" w:lineRule="exact"/>
              <w:jc w:val="left"/>
              <w:rPr>
                <w:rFonts w:ascii="宋体" w:hAnsi="宋体" w:cs="宋体"/>
                <w:spacing w:val="-7"/>
                <w:sz w:val="24"/>
                <w:szCs w:val="24"/>
              </w:rPr>
            </w:pPr>
            <w:r>
              <w:rPr>
                <w:rFonts w:hint="eastAsia" w:ascii="宋体" w:hAnsi="宋体" w:cs="宋体"/>
                <w:spacing w:val="-7"/>
                <w:sz w:val="24"/>
                <w:szCs w:val="24"/>
              </w:rPr>
              <w:t>2) 台面物理性能需全部符合国标BG/T7911-2013《热固性树脂浸渍纸高压装饰层积板》标准，不低于20项物理性能检测需全部达到合格标准；需提供省级或省级以上质量监督检验机构或有资质的第三方检测机构出具的检测报告，检测报告均有“ CNAS“和” CMA“ 标志。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1110" w:hRule="atLeast"/>
        </w:trPr>
        <w:tc>
          <w:tcPr>
            <w:tcW w:w="358" w:type="pct"/>
            <w:vMerge w:val="continue"/>
            <w:vAlign w:val="center"/>
          </w:tcPr>
          <w:p>
            <w:pPr>
              <w:rPr>
                <w:rFonts w:ascii="宋体" w:hAnsi="宋体"/>
                <w:sz w:val="24"/>
                <w:szCs w:val="24"/>
              </w:rPr>
            </w:pPr>
          </w:p>
        </w:tc>
        <w:tc>
          <w:tcPr>
            <w:tcW w:w="414" w:type="pct"/>
            <w:vMerge w:val="continue"/>
            <w:vAlign w:val="center"/>
          </w:tcPr>
          <w:p>
            <w:pPr>
              <w:rPr>
                <w:rFonts w:ascii="宋体" w:hAnsi="宋体"/>
                <w:sz w:val="24"/>
                <w:szCs w:val="24"/>
              </w:rPr>
            </w:pPr>
          </w:p>
        </w:tc>
        <w:tc>
          <w:tcPr>
            <w:tcW w:w="4219" w:type="pct"/>
            <w:vAlign w:val="center"/>
          </w:tcPr>
          <w:p>
            <w:pPr>
              <w:spacing w:line="440" w:lineRule="exact"/>
              <w:jc w:val="left"/>
              <w:rPr>
                <w:rFonts w:ascii="宋体" w:hAnsi="宋体" w:cs="宋体"/>
                <w:spacing w:val="-7"/>
                <w:sz w:val="24"/>
                <w:szCs w:val="24"/>
              </w:rPr>
            </w:pPr>
            <w:r>
              <w:rPr>
                <w:rFonts w:ascii="宋体" w:hAnsi="宋体" w:cs="宋体"/>
                <w:spacing w:val="-7"/>
                <w:sz w:val="24"/>
                <w:szCs w:val="24"/>
              </w:rPr>
              <w:t>3)甲醛释放量需符合国标 GB/18580-2017《室内装饰装修材料人造板及其制品中甲醛释放限量》标准，达到 E1 级：≤1.2。</w:t>
            </w:r>
            <w:r>
              <w:rPr>
                <w:rFonts w:hint="eastAsia" w:ascii="宋体" w:hAnsi="宋体" w:cs="宋体"/>
                <w:spacing w:val="-7"/>
                <w:sz w:val="24"/>
                <w:szCs w:val="24"/>
              </w:rPr>
              <w:t>需提供省级或省级以上质量监督检验机构或有资质的第三方检测机构出具的检测报告，检测报告均有“ CNAS“和” CMA“ 标志。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840" w:hRule="atLeast"/>
        </w:trPr>
        <w:tc>
          <w:tcPr>
            <w:tcW w:w="358" w:type="pct"/>
            <w:vMerge w:val="continue"/>
            <w:vAlign w:val="center"/>
          </w:tcPr>
          <w:p>
            <w:pPr>
              <w:rPr>
                <w:rFonts w:ascii="宋体" w:hAnsi="宋体"/>
                <w:sz w:val="24"/>
                <w:szCs w:val="24"/>
              </w:rPr>
            </w:pPr>
          </w:p>
        </w:tc>
        <w:tc>
          <w:tcPr>
            <w:tcW w:w="414" w:type="pct"/>
            <w:vMerge w:val="restart"/>
            <w:vAlign w:val="center"/>
          </w:tcPr>
          <w:p>
            <w:pPr>
              <w:pStyle w:val="7"/>
              <w:jc w:val="left"/>
              <w:rPr>
                <w:sz w:val="24"/>
                <w:szCs w:val="24"/>
              </w:rPr>
            </w:pPr>
            <w:r>
              <w:rPr>
                <w:sz w:val="24"/>
                <w:szCs w:val="24"/>
              </w:rPr>
              <w:t>五金</w:t>
            </w:r>
          </w:p>
          <w:p>
            <w:pPr>
              <w:pStyle w:val="7"/>
              <w:jc w:val="left"/>
              <w:rPr>
                <w:sz w:val="24"/>
                <w:szCs w:val="24"/>
              </w:rPr>
            </w:pPr>
            <w:r>
              <w:rPr>
                <w:sz w:val="24"/>
                <w:szCs w:val="24"/>
              </w:rPr>
              <w:t>配件</w:t>
            </w:r>
          </w:p>
        </w:tc>
        <w:tc>
          <w:tcPr>
            <w:tcW w:w="4219" w:type="pct"/>
            <w:vAlign w:val="center"/>
          </w:tcPr>
          <w:p>
            <w:pPr>
              <w:pStyle w:val="7"/>
              <w:spacing w:before="15"/>
              <w:ind w:left="111" w:right="-29"/>
              <w:jc w:val="left"/>
              <w:rPr>
                <w:spacing w:val="-7"/>
                <w:sz w:val="24"/>
                <w:szCs w:val="24"/>
              </w:rPr>
            </w:pPr>
            <w:r>
              <w:rPr>
                <w:spacing w:val="-7"/>
                <w:sz w:val="24"/>
                <w:szCs w:val="24"/>
              </w:rPr>
              <w:t>1)锁具：互开率低于 1/1000；不同用途的锁具款式及具体安装位置、数量等由中标人在合同签订后，生产前与招标人确认后执行， 且此项调整不得变更合同金额。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555" w:hRule="atLeast"/>
        </w:trPr>
        <w:tc>
          <w:tcPr>
            <w:tcW w:w="358" w:type="pct"/>
            <w:vMerge w:val="continue"/>
            <w:vAlign w:val="center"/>
          </w:tcPr>
          <w:p>
            <w:pPr>
              <w:rPr>
                <w:rFonts w:ascii="宋体" w:hAnsi="宋体"/>
                <w:sz w:val="24"/>
                <w:szCs w:val="24"/>
              </w:rPr>
            </w:pPr>
          </w:p>
        </w:tc>
        <w:tc>
          <w:tcPr>
            <w:tcW w:w="414" w:type="pct"/>
            <w:vMerge w:val="continue"/>
            <w:tcBorders>
              <w:top w:val="nil"/>
            </w:tcBorders>
            <w:vAlign w:val="center"/>
          </w:tcPr>
          <w:p>
            <w:pPr>
              <w:rPr>
                <w:rFonts w:ascii="宋体" w:hAnsi="宋体"/>
                <w:sz w:val="24"/>
                <w:szCs w:val="24"/>
              </w:rPr>
            </w:pPr>
          </w:p>
        </w:tc>
        <w:tc>
          <w:tcPr>
            <w:tcW w:w="4219" w:type="pct"/>
            <w:vAlign w:val="center"/>
          </w:tcPr>
          <w:p>
            <w:pPr>
              <w:pStyle w:val="7"/>
              <w:spacing w:before="14" w:line="270" w:lineRule="atLeast"/>
              <w:ind w:left="111" w:right="126"/>
              <w:jc w:val="left"/>
              <w:rPr>
                <w:sz w:val="24"/>
                <w:szCs w:val="24"/>
              </w:rPr>
            </w:pPr>
            <w:r>
              <w:rPr>
                <w:sz w:val="24"/>
                <w:szCs w:val="24"/>
              </w:rPr>
              <w:t>2)导轨：钢质三节静音式，单抽屉负载重量≥30KG；安装时采用点焊加铝质铆钉相结合的方式固定。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555" w:hRule="atLeast"/>
        </w:trPr>
        <w:tc>
          <w:tcPr>
            <w:tcW w:w="358" w:type="pct"/>
            <w:vMerge w:val="continue"/>
            <w:vAlign w:val="center"/>
          </w:tcPr>
          <w:p>
            <w:pPr>
              <w:rPr>
                <w:rFonts w:ascii="宋体" w:hAnsi="宋体"/>
                <w:sz w:val="24"/>
                <w:szCs w:val="24"/>
              </w:rPr>
            </w:pPr>
          </w:p>
        </w:tc>
        <w:tc>
          <w:tcPr>
            <w:tcW w:w="414" w:type="pct"/>
            <w:vMerge w:val="continue"/>
            <w:tcBorders>
              <w:top w:val="nil"/>
            </w:tcBorders>
            <w:vAlign w:val="center"/>
          </w:tcPr>
          <w:p>
            <w:pPr>
              <w:rPr>
                <w:rFonts w:ascii="宋体" w:hAnsi="宋体"/>
                <w:sz w:val="24"/>
                <w:szCs w:val="24"/>
              </w:rPr>
            </w:pPr>
          </w:p>
        </w:tc>
        <w:tc>
          <w:tcPr>
            <w:tcW w:w="4219" w:type="pct"/>
            <w:vAlign w:val="center"/>
          </w:tcPr>
          <w:p>
            <w:pPr>
              <w:pStyle w:val="7"/>
              <w:spacing w:before="14" w:line="270" w:lineRule="atLeast"/>
              <w:ind w:left="111" w:right="31"/>
              <w:jc w:val="left"/>
              <w:rPr>
                <w:sz w:val="24"/>
                <w:szCs w:val="24"/>
              </w:rPr>
            </w:pPr>
            <w:r>
              <w:rPr>
                <w:sz w:val="24"/>
                <w:szCs w:val="24"/>
              </w:rPr>
              <w:t>3)</w:t>
            </w:r>
            <w:r>
              <w:rPr>
                <w:rFonts w:hint="eastAsia"/>
                <w:sz w:val="24"/>
                <w:szCs w:val="24"/>
              </w:rPr>
              <w:t>踢脚线</w:t>
            </w:r>
            <w:r>
              <w:rPr>
                <w:sz w:val="24"/>
                <w:szCs w:val="24"/>
              </w:rPr>
              <w:t>全部采用厚度≥1.0mm</w:t>
            </w:r>
            <w:r>
              <w:rPr>
                <w:spacing w:val="-19"/>
                <w:sz w:val="24"/>
                <w:szCs w:val="24"/>
              </w:rPr>
              <w:t xml:space="preserve"> 的国标 </w:t>
            </w:r>
            <w:r>
              <w:rPr>
                <w:sz w:val="24"/>
                <w:szCs w:val="24"/>
              </w:rPr>
              <w:t>SUS304</w:t>
            </w:r>
            <w:r>
              <w:rPr>
                <w:spacing w:val="-8"/>
                <w:sz w:val="24"/>
                <w:szCs w:val="24"/>
              </w:rPr>
              <w:t xml:space="preserve"> 不锈钢板制作</w:t>
            </w:r>
            <w:r>
              <w:rPr>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555" w:hRule="atLeast"/>
        </w:trPr>
        <w:tc>
          <w:tcPr>
            <w:tcW w:w="358" w:type="pct"/>
            <w:vMerge w:val="continue"/>
            <w:vAlign w:val="center"/>
          </w:tcPr>
          <w:p>
            <w:pPr>
              <w:rPr>
                <w:rFonts w:ascii="宋体" w:hAnsi="宋体"/>
                <w:sz w:val="24"/>
                <w:szCs w:val="24"/>
              </w:rPr>
            </w:pPr>
          </w:p>
        </w:tc>
        <w:tc>
          <w:tcPr>
            <w:tcW w:w="414" w:type="pct"/>
            <w:vAlign w:val="center"/>
          </w:tcPr>
          <w:p>
            <w:pPr>
              <w:pStyle w:val="7"/>
              <w:spacing w:before="150"/>
              <w:jc w:val="left"/>
              <w:rPr>
                <w:sz w:val="24"/>
                <w:szCs w:val="24"/>
              </w:rPr>
            </w:pPr>
            <w:r>
              <w:rPr>
                <w:sz w:val="24"/>
                <w:szCs w:val="24"/>
              </w:rPr>
              <w:t>底座</w:t>
            </w:r>
          </w:p>
          <w:p>
            <w:pPr>
              <w:pStyle w:val="7"/>
              <w:spacing w:before="150"/>
              <w:jc w:val="left"/>
              <w:rPr>
                <w:sz w:val="24"/>
                <w:szCs w:val="24"/>
              </w:rPr>
            </w:pPr>
            <w:r>
              <w:rPr>
                <w:sz w:val="24"/>
                <w:szCs w:val="24"/>
              </w:rPr>
              <w:t>部分</w:t>
            </w:r>
          </w:p>
        </w:tc>
        <w:tc>
          <w:tcPr>
            <w:tcW w:w="4219" w:type="pct"/>
            <w:vAlign w:val="center"/>
          </w:tcPr>
          <w:p>
            <w:pPr>
              <w:pStyle w:val="7"/>
              <w:spacing w:before="14" w:line="270" w:lineRule="atLeast"/>
              <w:ind w:left="111" w:right="67"/>
              <w:jc w:val="left"/>
              <w:rPr>
                <w:sz w:val="24"/>
                <w:szCs w:val="24"/>
              </w:rPr>
            </w:pPr>
            <w:r>
              <w:rPr>
                <w:sz w:val="24"/>
                <w:szCs w:val="24"/>
              </w:rPr>
              <w:t>采用≥1.0mm</w:t>
            </w:r>
            <w:r>
              <w:rPr>
                <w:spacing w:val="-31"/>
                <w:sz w:val="24"/>
                <w:szCs w:val="24"/>
              </w:rPr>
              <w:t xml:space="preserve"> 的 </w:t>
            </w:r>
            <w:r>
              <w:rPr>
                <w:sz w:val="24"/>
                <w:szCs w:val="24"/>
              </w:rPr>
              <w:t>SUS304</w:t>
            </w:r>
            <w:r>
              <w:rPr>
                <w:spacing w:val="-15"/>
                <w:sz w:val="24"/>
                <w:szCs w:val="24"/>
              </w:rPr>
              <w:t xml:space="preserve"> 不锈钢内嵌式 </w:t>
            </w:r>
            <w:r>
              <w:rPr>
                <w:sz w:val="24"/>
                <w:szCs w:val="24"/>
              </w:rPr>
              <w:t>T</w:t>
            </w:r>
            <w:r>
              <w:rPr>
                <w:spacing w:val="-8"/>
                <w:sz w:val="24"/>
                <w:szCs w:val="24"/>
              </w:rPr>
              <w:t xml:space="preserve"> 脚线，与站体前端面缩进</w:t>
            </w:r>
            <w:r>
              <w:rPr>
                <w:spacing w:val="-18"/>
                <w:sz w:val="24"/>
                <w:szCs w:val="24"/>
              </w:rPr>
              <w:t xml:space="preserve">尺寸为 </w:t>
            </w:r>
            <w:r>
              <w:rPr>
                <w:sz w:val="24"/>
                <w:szCs w:val="24"/>
              </w:rPr>
              <w:t>23mm，</w:t>
            </w:r>
            <w:r>
              <w:rPr>
                <w:spacing w:val="-12"/>
                <w:sz w:val="24"/>
                <w:szCs w:val="24"/>
              </w:rPr>
              <w:t xml:space="preserve">高度为 </w:t>
            </w:r>
            <w:r>
              <w:rPr>
                <w:sz w:val="24"/>
                <w:szCs w:val="24"/>
              </w:rPr>
              <w:t>100mm。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90" w:hRule="atLeast"/>
        </w:trPr>
        <w:tc>
          <w:tcPr>
            <w:tcW w:w="358" w:type="pct"/>
            <w:vMerge w:val="continue"/>
            <w:vAlign w:val="center"/>
          </w:tcPr>
          <w:p>
            <w:pPr>
              <w:rPr>
                <w:rFonts w:ascii="宋体" w:hAnsi="宋体"/>
                <w:sz w:val="24"/>
                <w:szCs w:val="24"/>
              </w:rPr>
            </w:pPr>
          </w:p>
        </w:tc>
        <w:tc>
          <w:tcPr>
            <w:tcW w:w="414" w:type="pct"/>
            <w:vMerge w:val="restart"/>
            <w:vAlign w:val="center"/>
          </w:tcPr>
          <w:p>
            <w:pPr>
              <w:pStyle w:val="7"/>
              <w:spacing w:before="150"/>
              <w:jc w:val="left"/>
              <w:rPr>
                <w:sz w:val="24"/>
                <w:szCs w:val="24"/>
              </w:rPr>
            </w:pPr>
            <w:r>
              <w:rPr>
                <w:rFonts w:hint="eastAsia"/>
                <w:sz w:val="24"/>
                <w:szCs w:val="24"/>
              </w:rPr>
              <w:t>亚克</w:t>
            </w:r>
          </w:p>
          <w:p>
            <w:pPr>
              <w:pStyle w:val="7"/>
              <w:spacing w:before="150"/>
              <w:jc w:val="left"/>
              <w:rPr>
                <w:sz w:val="24"/>
                <w:szCs w:val="24"/>
              </w:rPr>
            </w:pPr>
            <w:r>
              <w:rPr>
                <w:rFonts w:hint="eastAsia"/>
                <w:sz w:val="24"/>
                <w:szCs w:val="24"/>
              </w:rPr>
              <w:t>力挡水</w:t>
            </w:r>
          </w:p>
        </w:tc>
        <w:tc>
          <w:tcPr>
            <w:tcW w:w="4219" w:type="pct"/>
            <w:vAlign w:val="center"/>
          </w:tcPr>
          <w:p>
            <w:pPr>
              <w:spacing w:before="150"/>
              <w:rPr>
                <w:rFonts w:ascii="宋体" w:hAnsi="宋体" w:cs="宋体"/>
                <w:sz w:val="24"/>
                <w:szCs w:val="24"/>
              </w:rPr>
            </w:pPr>
            <w:r>
              <w:rPr>
                <w:rFonts w:hint="eastAsia" w:ascii="宋体" w:hAnsi="宋体" w:cs="宋体"/>
                <w:sz w:val="24"/>
                <w:szCs w:val="24"/>
              </w:rPr>
              <w:t>1）采用6mm厚一体式有机玻璃材质制作成U型挡水装置，功能实用，清洁方便，整体美观。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1111" w:hRule="atLeast"/>
        </w:trPr>
        <w:tc>
          <w:tcPr>
            <w:tcW w:w="358" w:type="pct"/>
            <w:vMerge w:val="continue"/>
            <w:vAlign w:val="center"/>
          </w:tcPr>
          <w:p>
            <w:pPr>
              <w:rPr>
                <w:rFonts w:ascii="宋体" w:hAnsi="宋体"/>
                <w:sz w:val="24"/>
                <w:szCs w:val="24"/>
              </w:rPr>
            </w:pPr>
          </w:p>
        </w:tc>
        <w:tc>
          <w:tcPr>
            <w:tcW w:w="414" w:type="pct"/>
            <w:vMerge w:val="continue"/>
            <w:tcBorders>
              <w:top w:val="nil"/>
            </w:tcBorders>
            <w:vAlign w:val="center"/>
          </w:tcPr>
          <w:p>
            <w:pPr>
              <w:rPr>
                <w:rFonts w:ascii="宋体" w:hAnsi="宋体"/>
                <w:sz w:val="24"/>
                <w:szCs w:val="24"/>
              </w:rPr>
            </w:pPr>
          </w:p>
        </w:tc>
        <w:tc>
          <w:tcPr>
            <w:tcW w:w="4219" w:type="pct"/>
            <w:vAlign w:val="center"/>
          </w:tcPr>
          <w:p>
            <w:pPr>
              <w:pStyle w:val="7"/>
              <w:spacing w:before="15" w:line="247" w:lineRule="auto"/>
              <w:ind w:left="111" w:right="63"/>
              <w:rPr>
                <w:sz w:val="24"/>
                <w:szCs w:val="24"/>
              </w:rPr>
            </w:pPr>
            <w:r>
              <w:rPr>
                <w:sz w:val="24"/>
                <w:szCs w:val="24"/>
              </w:rPr>
              <w:t>2)</w:t>
            </w:r>
            <w:r>
              <w:rPr>
                <w:spacing w:val="-4"/>
                <w:sz w:val="24"/>
                <w:szCs w:val="24"/>
              </w:rPr>
              <w:t>台面安装：台面安装时外</w:t>
            </w:r>
            <w:r>
              <w:rPr>
                <w:sz w:val="24"/>
                <w:szCs w:val="24"/>
              </w:rPr>
              <w:t>3cm</w:t>
            </w:r>
            <w:r>
              <w:rPr>
                <w:spacing w:val="-7"/>
                <w:sz w:val="24"/>
                <w:szCs w:val="24"/>
              </w:rPr>
              <w:t>并做单边导角及粘双边下挂处</w:t>
            </w:r>
            <w:r>
              <w:rPr>
                <w:spacing w:val="-12"/>
                <w:sz w:val="24"/>
                <w:szCs w:val="24"/>
              </w:rPr>
              <w:t xml:space="preserve">理，双边厚度为 </w:t>
            </w:r>
            <w:r>
              <w:rPr>
                <w:sz w:val="24"/>
                <w:szCs w:val="24"/>
              </w:rPr>
              <w:t>25.4mm，需采用螺丝固定后再用胶水高压黏结， 台面安装完成后需采用矽胶填实接缝，台面的接缝间隙需小于1mm。拼接时要求尽量整板少拼缝。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1111" w:hRule="atLeast"/>
        </w:trPr>
        <w:tc>
          <w:tcPr>
            <w:tcW w:w="358" w:type="pct"/>
            <w:vMerge w:val="continue"/>
            <w:vAlign w:val="center"/>
          </w:tcPr>
          <w:p>
            <w:pPr>
              <w:rPr>
                <w:rFonts w:ascii="宋体" w:hAnsi="宋体"/>
                <w:sz w:val="24"/>
                <w:szCs w:val="24"/>
              </w:rPr>
            </w:pPr>
          </w:p>
        </w:tc>
        <w:tc>
          <w:tcPr>
            <w:tcW w:w="414" w:type="pct"/>
            <w:vMerge w:val="restart"/>
            <w:tcBorders>
              <w:top w:val="nil"/>
            </w:tcBorders>
            <w:vAlign w:val="center"/>
          </w:tcPr>
          <w:p>
            <w:pPr>
              <w:rPr>
                <w:rFonts w:ascii="宋体" w:hAnsi="宋体"/>
                <w:sz w:val="24"/>
                <w:szCs w:val="24"/>
              </w:rPr>
            </w:pPr>
            <w:r>
              <w:rPr>
                <w:sz w:val="24"/>
                <w:szCs w:val="24"/>
              </w:rPr>
              <w:t>整体性能</w:t>
            </w:r>
          </w:p>
        </w:tc>
        <w:tc>
          <w:tcPr>
            <w:tcW w:w="4219" w:type="pct"/>
          </w:tcPr>
          <w:p>
            <w:pPr>
              <w:pStyle w:val="7"/>
              <w:spacing w:before="15" w:line="247" w:lineRule="auto"/>
              <w:ind w:left="111" w:right="63"/>
              <w:rPr>
                <w:sz w:val="24"/>
                <w:szCs w:val="24"/>
              </w:rPr>
            </w:pPr>
            <w:r>
              <w:rPr>
                <w:sz w:val="24"/>
                <w:szCs w:val="24"/>
              </w:rPr>
              <w:t>★1)合格性:钢质医用台柜产品符合国标 GB/T 3325-2017《金属家具通用技术条件》要求，检测结果须为合格。</w:t>
            </w:r>
            <w:r>
              <w:rPr>
                <w:rFonts w:hint="eastAsia"/>
                <w:sz w:val="24"/>
                <w:szCs w:val="24"/>
              </w:rPr>
              <w:t>需提供省级或省级以上质量监督检验机构或有资质的第三方检测机构出具的检测报告，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1111" w:hRule="atLeast"/>
        </w:trPr>
        <w:tc>
          <w:tcPr>
            <w:tcW w:w="358" w:type="pct"/>
            <w:vMerge w:val="continue"/>
            <w:vAlign w:val="center"/>
          </w:tcPr>
          <w:p>
            <w:pPr>
              <w:rPr>
                <w:rFonts w:ascii="宋体" w:hAnsi="宋体"/>
                <w:sz w:val="24"/>
                <w:szCs w:val="24"/>
              </w:rPr>
            </w:pPr>
          </w:p>
        </w:tc>
        <w:tc>
          <w:tcPr>
            <w:tcW w:w="414" w:type="pct"/>
            <w:vMerge w:val="continue"/>
            <w:vAlign w:val="center"/>
          </w:tcPr>
          <w:p>
            <w:pPr>
              <w:rPr>
                <w:sz w:val="24"/>
                <w:szCs w:val="24"/>
              </w:rPr>
            </w:pPr>
          </w:p>
        </w:tc>
        <w:tc>
          <w:tcPr>
            <w:tcW w:w="4219" w:type="pct"/>
          </w:tcPr>
          <w:p>
            <w:pPr>
              <w:pStyle w:val="7"/>
              <w:spacing w:before="15" w:line="247" w:lineRule="auto"/>
              <w:ind w:left="111" w:right="63"/>
              <w:rPr>
                <w:sz w:val="24"/>
                <w:szCs w:val="24"/>
              </w:rPr>
            </w:pPr>
            <w:r>
              <w:rPr>
                <w:sz w:val="24"/>
                <w:szCs w:val="24"/>
              </w:rPr>
              <w:t>★2)环保性:钢制医用台柜需经过环保性能检测，检测项目需涵盖铅、汞、镉、六价铬、多溴联苯、多溴二苯醚、DIBP、DBP、BBP、DEHP 等 10 项有害物质，检测结果须为合格。</w:t>
            </w:r>
            <w:r>
              <w:rPr>
                <w:rFonts w:hint="eastAsia"/>
                <w:sz w:val="24"/>
                <w:szCs w:val="24"/>
              </w:rPr>
              <w:t>需提供省级或省级以上质量监督检验机构或有资质的第三方检测机构出具的检测报告，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Before w:val="1"/>
          <w:gridAfter w:val="1"/>
          <w:wBefore w:w="4" w:type="pct"/>
          <w:wAfter w:w="5" w:type="pct"/>
          <w:trHeight w:val="1111" w:hRule="atLeast"/>
        </w:trPr>
        <w:tc>
          <w:tcPr>
            <w:tcW w:w="358" w:type="pct"/>
            <w:vMerge w:val="continue"/>
            <w:vAlign w:val="center"/>
          </w:tcPr>
          <w:p>
            <w:pPr>
              <w:rPr>
                <w:rFonts w:ascii="宋体" w:hAnsi="宋体"/>
                <w:sz w:val="24"/>
                <w:szCs w:val="24"/>
              </w:rPr>
            </w:pPr>
          </w:p>
        </w:tc>
        <w:tc>
          <w:tcPr>
            <w:tcW w:w="414" w:type="pct"/>
            <w:vMerge w:val="continue"/>
            <w:vAlign w:val="center"/>
          </w:tcPr>
          <w:p>
            <w:pPr>
              <w:rPr>
                <w:sz w:val="24"/>
                <w:szCs w:val="24"/>
              </w:rPr>
            </w:pPr>
          </w:p>
        </w:tc>
        <w:tc>
          <w:tcPr>
            <w:tcW w:w="4219" w:type="pct"/>
          </w:tcPr>
          <w:p>
            <w:pPr>
              <w:pStyle w:val="7"/>
              <w:spacing w:before="15" w:line="247" w:lineRule="auto"/>
              <w:ind w:left="111" w:right="63"/>
              <w:rPr>
                <w:sz w:val="24"/>
                <w:szCs w:val="24"/>
              </w:rPr>
            </w:pPr>
            <w:r>
              <w:rPr>
                <w:sz w:val="24"/>
                <w:szCs w:val="24"/>
              </w:rPr>
              <w:t>★3)抗菌性：治疗柜理化板台面抗菌性能需符合国标 GB/T 21866-2008《抗菌涂料（漆膜）抗菌性测定法和抗菌效果》标准，达到 I 级要求。</w:t>
            </w:r>
            <w:r>
              <w:rPr>
                <w:rFonts w:hint="eastAsia"/>
                <w:sz w:val="24"/>
                <w:szCs w:val="24"/>
              </w:rPr>
              <w:t>需提供省级或省级以上质量监督检验机构或有资质的第三方检测机构出具的检测报告，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5" w:hRule="atLeast"/>
        </w:trPr>
        <w:tc>
          <w:tcPr>
            <w:tcW w:w="776" w:type="pct"/>
            <w:gridSpan w:val="3"/>
            <w:tcBorders>
              <w:top w:val="single" w:color="auto" w:sz="4" w:space="0"/>
              <w:bottom w:val="single" w:color="000000" w:sz="8" w:space="0"/>
            </w:tcBorders>
            <w:vAlign w:val="center"/>
          </w:tcPr>
          <w:p>
            <w:pPr>
              <w:pStyle w:val="7"/>
              <w:spacing w:before="15"/>
              <w:ind w:left="111" w:right="16"/>
              <w:jc w:val="left"/>
              <w:rPr>
                <w:rFonts w:hint="eastAsia"/>
                <w:sz w:val="24"/>
                <w:szCs w:val="24"/>
              </w:rPr>
            </w:pPr>
            <w:r>
              <w:rPr>
                <w:rFonts w:hint="eastAsia"/>
                <w:sz w:val="24"/>
                <w:szCs w:val="24"/>
              </w:rPr>
              <w:t>通风柜</w:t>
            </w:r>
          </w:p>
        </w:tc>
        <w:tc>
          <w:tcPr>
            <w:tcW w:w="4224" w:type="pct"/>
            <w:gridSpan w:val="2"/>
            <w:tcBorders>
              <w:bottom w:val="single" w:color="000000" w:sz="8" w:space="0"/>
            </w:tcBorders>
          </w:tcPr>
          <w:p>
            <w:pPr>
              <w:pStyle w:val="7"/>
              <w:spacing w:before="15"/>
              <w:ind w:left="111" w:right="16"/>
              <w:jc w:val="left"/>
              <w:rPr>
                <w:rFonts w:hint="eastAsia"/>
                <w:sz w:val="24"/>
                <w:szCs w:val="24"/>
              </w:rPr>
            </w:pPr>
            <w:r>
              <w:rPr>
                <w:rFonts w:hint="eastAsia"/>
                <w:sz w:val="24"/>
                <w:szCs w:val="24"/>
              </w:rPr>
              <w:t xml:space="preserve">1、台面：采用12.7mm厚实芯理化板；上边缘镶边厚25.4mm，磨边处理。                                          </w:t>
            </w:r>
          </w:p>
          <w:p>
            <w:pPr>
              <w:pStyle w:val="7"/>
              <w:spacing w:before="15"/>
              <w:ind w:left="111" w:right="16"/>
              <w:jc w:val="left"/>
              <w:rPr>
                <w:rFonts w:hint="eastAsia"/>
                <w:sz w:val="24"/>
                <w:szCs w:val="24"/>
              </w:rPr>
            </w:pPr>
            <w:r>
              <w:rPr>
                <w:rFonts w:hint="eastAsia"/>
                <w:sz w:val="24"/>
                <w:szCs w:val="24"/>
              </w:rPr>
              <w:t xml:space="preserve">2、框架（外壳）：采用1.0mm厚优质冷轧钢板经剪板、冲压、折弯、拼焊、打磨后表面喷涂，高温固化处理。                            </w:t>
            </w:r>
          </w:p>
          <w:p>
            <w:pPr>
              <w:pStyle w:val="7"/>
              <w:spacing w:before="15"/>
              <w:ind w:left="111" w:right="16"/>
              <w:jc w:val="left"/>
              <w:rPr>
                <w:rFonts w:hint="eastAsia"/>
                <w:sz w:val="24"/>
                <w:szCs w:val="24"/>
              </w:rPr>
            </w:pPr>
            <w:r>
              <w:rPr>
                <w:rFonts w:hint="eastAsia"/>
                <w:sz w:val="24"/>
                <w:szCs w:val="24"/>
              </w:rPr>
              <w:t xml:space="preserve">3、内衬及导流板：采用5mm厚优质抗倍特板制作，采用PP防腐固定扣固定，便于拆卸更换。                                 </w:t>
            </w:r>
          </w:p>
          <w:p>
            <w:pPr>
              <w:pStyle w:val="7"/>
              <w:spacing w:before="15"/>
              <w:ind w:left="111" w:right="16"/>
              <w:jc w:val="left"/>
              <w:rPr>
                <w:rFonts w:hint="eastAsia"/>
                <w:sz w:val="24"/>
                <w:szCs w:val="24"/>
              </w:rPr>
            </w:pPr>
            <w:r>
              <w:rPr>
                <w:rFonts w:hint="eastAsia"/>
                <w:sz w:val="24"/>
                <w:szCs w:val="24"/>
              </w:rPr>
              <w:t>4、上柜门：采用上下移门，PP材质门框内嵌钢化玻璃，采用PP材质把手；采用同步带加齿轮升降模式，非简易钢丝绳升降。</w:t>
            </w:r>
          </w:p>
          <w:p>
            <w:pPr>
              <w:pStyle w:val="7"/>
              <w:spacing w:before="15"/>
              <w:ind w:left="111" w:right="16"/>
              <w:jc w:val="left"/>
              <w:rPr>
                <w:rFonts w:hint="eastAsia"/>
                <w:sz w:val="24"/>
                <w:szCs w:val="24"/>
              </w:rPr>
            </w:pPr>
            <w:r>
              <w:rPr>
                <w:rFonts w:hint="eastAsia"/>
                <w:sz w:val="24"/>
                <w:szCs w:val="24"/>
              </w:rPr>
              <w:t xml:space="preserve">5、下柜：采用全钢实门，均为双层钢板结构。采用不锈钢C型拉手。内置一层活动层板。                                                            </w:t>
            </w:r>
          </w:p>
          <w:p>
            <w:pPr>
              <w:pStyle w:val="7"/>
              <w:spacing w:before="15"/>
              <w:ind w:left="111" w:right="16"/>
              <w:jc w:val="left"/>
              <w:rPr>
                <w:rFonts w:hint="eastAsia"/>
                <w:sz w:val="24"/>
                <w:szCs w:val="24"/>
              </w:rPr>
            </w:pPr>
            <w:r>
              <w:rPr>
                <w:rFonts w:hint="eastAsia"/>
                <w:sz w:val="24"/>
                <w:szCs w:val="24"/>
              </w:rPr>
              <w:t xml:space="preserve">6、开关：采用液晶显示集成控制开关，装于通风柜外侧立柱上。 </w:t>
            </w:r>
          </w:p>
          <w:p>
            <w:pPr>
              <w:pStyle w:val="7"/>
              <w:spacing w:before="15"/>
              <w:ind w:left="111" w:right="16"/>
              <w:jc w:val="left"/>
              <w:rPr>
                <w:rFonts w:hint="eastAsia"/>
                <w:sz w:val="24"/>
                <w:szCs w:val="24"/>
              </w:rPr>
            </w:pPr>
            <w:r>
              <w:rPr>
                <w:rFonts w:hint="eastAsia"/>
                <w:sz w:val="24"/>
                <w:szCs w:val="24"/>
              </w:rPr>
              <w:t>7、照明：采用LED灯源，放置于通风柜顶部，与内部独立有效防止腐蚀。</w:t>
            </w:r>
          </w:p>
          <w:p>
            <w:pPr>
              <w:pStyle w:val="7"/>
              <w:spacing w:before="15"/>
              <w:ind w:left="111" w:right="16"/>
              <w:jc w:val="left"/>
              <w:rPr>
                <w:rFonts w:hint="eastAsia"/>
                <w:sz w:val="24"/>
                <w:szCs w:val="24"/>
              </w:rPr>
            </w:pPr>
            <w:r>
              <w:rPr>
                <w:rFonts w:hint="eastAsia"/>
                <w:sz w:val="24"/>
                <w:szCs w:val="24"/>
              </w:rPr>
              <w:t>8、插座：采用五孔插座220V,10A；装于通风柜外侧两侧立柱上，每只立柱上装2只。</w:t>
            </w:r>
          </w:p>
          <w:p>
            <w:pPr>
              <w:pStyle w:val="7"/>
              <w:spacing w:before="15"/>
              <w:ind w:left="111" w:right="16"/>
              <w:jc w:val="left"/>
              <w:rPr>
                <w:rFonts w:hint="eastAsia"/>
                <w:sz w:val="24"/>
                <w:szCs w:val="24"/>
              </w:rPr>
            </w:pPr>
            <w:r>
              <w:rPr>
                <w:rFonts w:hint="eastAsia"/>
                <w:sz w:val="24"/>
                <w:szCs w:val="24"/>
              </w:rPr>
              <w:t>9、配水杯及单口龙头一套</w:t>
            </w:r>
          </w:p>
          <w:p>
            <w:pPr>
              <w:pStyle w:val="7"/>
              <w:spacing w:before="15"/>
              <w:ind w:left="111" w:right="16"/>
              <w:jc w:val="left"/>
              <w:rPr>
                <w:rFonts w:hint="eastAsia"/>
                <w:sz w:val="24"/>
                <w:szCs w:val="24"/>
              </w:rPr>
            </w:pPr>
            <w:r>
              <w:rPr>
                <w:rFonts w:hint="eastAsia"/>
                <w:sz w:val="24"/>
                <w:szCs w:val="24"/>
              </w:rPr>
              <w:t>10、同步带传动结构</w:t>
            </w:r>
          </w:p>
        </w:tc>
      </w:tr>
    </w:tbl>
    <w:p>
      <w:pPr>
        <w:pStyle w:val="2"/>
      </w:pPr>
    </w:p>
    <w:p>
      <w:pPr>
        <w:spacing w:before="90" w:line="369" w:lineRule="auto"/>
        <w:ind w:right="265"/>
        <w:jc w:val="left"/>
        <w:sectPr>
          <w:pgSz w:w="11910" w:h="16850"/>
          <w:pgMar w:top="1179" w:right="697" w:bottom="958" w:left="981" w:header="0" w:footer="777" w:gutter="0"/>
          <w:cols w:space="425" w:num="1"/>
          <w:docGrid w:linePitch="299" w:charSpace="0"/>
        </w:sect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sectPr>
      <w:pgSz w:w="16850" w:h="11910" w:orient="landscape"/>
      <w:pgMar w:top="697" w:right="958" w:bottom="981" w:left="1179" w:header="0" w:footer="777" w:gutter="0"/>
      <w:cols w:space="425"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3B3909"/>
    <w:multiLevelType w:val="singleLevel"/>
    <w:tmpl w:val="B63B3909"/>
    <w:lvl w:ilvl="0" w:tentative="0">
      <w:start w:val="1"/>
      <w:numFmt w:val="chineseCounting"/>
      <w:suff w:val="nothing"/>
      <w:lvlText w:val="%1、"/>
      <w:lvlJc w:val="left"/>
      <w:rPr>
        <w:rFonts w:hint="eastAsia"/>
      </w:rPr>
    </w:lvl>
  </w:abstractNum>
  <w:abstractNum w:abstractNumId="1">
    <w:nsid w:val="496DE41B"/>
    <w:multiLevelType w:val="singleLevel"/>
    <w:tmpl w:val="496DE41B"/>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29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C7A"/>
    <w:rsid w:val="00267E12"/>
    <w:rsid w:val="003A53E1"/>
    <w:rsid w:val="00490614"/>
    <w:rsid w:val="00513165"/>
    <w:rsid w:val="00854DF0"/>
    <w:rsid w:val="009E6570"/>
    <w:rsid w:val="00BF2A11"/>
    <w:rsid w:val="00C1434C"/>
    <w:rsid w:val="00C82016"/>
    <w:rsid w:val="00D137FD"/>
    <w:rsid w:val="00E87C21"/>
    <w:rsid w:val="00F17C7A"/>
    <w:rsid w:val="0EBE43A3"/>
    <w:rsid w:val="49FC6B85"/>
    <w:rsid w:val="4FEE1872"/>
    <w:rsid w:val="5A3C25D9"/>
    <w:rsid w:val="71265985"/>
    <w:rsid w:val="728E54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8"/>
    <w:semiHidden/>
    <w:unhideWhenUsed/>
    <w:uiPriority w:val="99"/>
    <w:pPr>
      <w:spacing w:after="12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Table Paragraph"/>
    <w:basedOn w:val="1"/>
    <w:qFormat/>
    <w:uiPriority w:val="1"/>
    <w:rPr>
      <w:rFonts w:ascii="宋体" w:hAnsi="宋体" w:cs="宋体"/>
    </w:rPr>
  </w:style>
  <w:style w:type="character" w:customStyle="1" w:styleId="8">
    <w:name w:val="正文文本 字符"/>
    <w:basedOn w:val="6"/>
    <w:link w:val="2"/>
    <w:semiHidden/>
    <w:uiPriority w:val="99"/>
    <w:rPr>
      <w:rFonts w:ascii="Calibri" w:hAnsi="Calibri" w:eastAsia="宋体" w:cs="Times New Roman"/>
    </w:rPr>
  </w:style>
  <w:style w:type="character" w:customStyle="1" w:styleId="9">
    <w:name w:val="页眉 字符"/>
    <w:basedOn w:val="6"/>
    <w:link w:val="4"/>
    <w:qFormat/>
    <w:uiPriority w:val="99"/>
    <w:rPr>
      <w:rFonts w:ascii="Calibri" w:hAnsi="Calibri" w:eastAsia="宋体" w:cs="Times New Roman"/>
      <w:sz w:val="18"/>
      <w:szCs w:val="18"/>
    </w:rPr>
  </w:style>
  <w:style w:type="character" w:customStyle="1" w:styleId="10">
    <w:name w:val="页脚 字符"/>
    <w:basedOn w:val="6"/>
    <w:link w:val="3"/>
    <w:qFormat/>
    <w:uiPriority w:val="99"/>
    <w:rPr>
      <w:rFonts w:ascii="Calibri" w:hAnsi="Calibri" w:eastAsia="宋体" w:cs="Times New Roman"/>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566</Words>
  <Characters>3228</Characters>
  <Lines>26</Lines>
  <Paragraphs>7</Paragraphs>
  <TotalTime>4</TotalTime>
  <ScaleCrop>false</ScaleCrop>
  <LinksUpToDate>false</LinksUpToDate>
  <CharactersWithSpaces>3787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2021-10-27T05:23:00Z</dcterms:created>
  <dc:creator>wei ju</dc:creator>
  <cp:lastModifiedBy>Administrator</cp:lastModifiedBy>
  <dcterms:modified xsi:type="dcterms:W3CDTF">2021-10-29T01:19:24Z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823986BD9F614289A97A1233FB74F6D6</vt:lpwstr>
  </property>
</Properties>
</file>