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exact"/>
        <w:jc w:val="center"/>
        <w:rPr>
          <w:rFonts w:hint="eastAsia" w:ascii="仿宋_GB2312" w:hAnsi="仿宋_GB2312" w:eastAsia="仿宋_GB2312" w:cs="仿宋_GB2312"/>
          <w:b w:val="0"/>
          <w:bCs w:val="0"/>
          <w:sz w:val="32"/>
          <w:szCs w:val="32"/>
          <w:lang w:eastAsia="zh-CN"/>
        </w:rPr>
      </w:pPr>
      <w:bookmarkStart w:id="0" w:name="_GoBack"/>
      <w:bookmarkEnd w:id="0"/>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eastAsia="zh-CN"/>
        </w:rPr>
        <w:t>二氧化碳、液氮、混合气体采购</w:t>
      </w:r>
      <w:r>
        <w:rPr>
          <w:rFonts w:hint="eastAsia" w:ascii="仿宋_GB2312" w:hAnsi="仿宋_GB2312" w:eastAsia="仿宋_GB2312" w:cs="仿宋_GB2312"/>
          <w:b w:val="0"/>
          <w:bCs w:val="0"/>
          <w:sz w:val="32"/>
          <w:szCs w:val="32"/>
          <w:lang w:eastAsia="zh-CN"/>
        </w:rPr>
        <w:t>招标</w:t>
      </w:r>
      <w:r>
        <w:rPr>
          <w:rFonts w:hint="eastAsia" w:ascii="仿宋_GB2312" w:hAnsi="仿宋_GB2312" w:eastAsia="仿宋_GB2312" w:cs="仿宋_GB2312"/>
          <w:b w:val="0"/>
          <w:bCs w:val="0"/>
          <w:sz w:val="32"/>
          <w:szCs w:val="32"/>
        </w:rPr>
        <w:t>参数</w:t>
      </w:r>
      <w:r>
        <w:rPr>
          <w:rFonts w:hint="eastAsia" w:ascii="仿宋_GB2312" w:hAnsi="仿宋_GB2312" w:eastAsia="仿宋_GB2312" w:cs="仿宋_GB2312"/>
          <w:b w:val="0"/>
          <w:bCs w:val="0"/>
          <w:sz w:val="32"/>
          <w:szCs w:val="32"/>
          <w:lang w:eastAsia="zh-CN"/>
        </w:rPr>
        <w:t>要求</w:t>
      </w:r>
    </w:p>
    <w:p>
      <w:pPr>
        <w:rPr>
          <w:rFonts w:hint="eastAsia" w:ascii="仿宋_GB2312" w:hAnsi="仿宋_GB2312" w:eastAsia="仿宋_GB2312" w:cs="仿宋_GB2312"/>
          <w:sz w:val="32"/>
          <w:szCs w:val="32"/>
          <w:lang w:val="en-US" w:eastAsia="zh-CN"/>
        </w:rPr>
      </w:pPr>
    </w:p>
    <w:p>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b/>
          <w:bCs/>
          <w:sz w:val="32"/>
          <w:szCs w:val="32"/>
          <w:lang w:val="en-US" w:eastAsia="zh-CN"/>
        </w:rPr>
        <w:t xml:space="preserve"> （一）评标办法及金额年限</w:t>
      </w:r>
    </w:p>
    <w:p>
      <w:pPr>
        <w:pStyle w:val="11"/>
        <w:numPr>
          <w:ilvl w:val="0"/>
          <w:numId w:val="0"/>
        </w:numPr>
        <w:ind w:leftChars="0"/>
        <w:rPr>
          <w:rFonts w:hint="eastAsia" w:ascii="仿宋_GB2312" w:hAnsi="仿宋_GB2312" w:eastAsia="仿宋_GB2312" w:cs="仿宋_GB2312"/>
          <w:sz w:val="32"/>
          <w:szCs w:val="32"/>
          <w:lang w:eastAsia="zh-CN"/>
        </w:rPr>
      </w:pPr>
      <w:r>
        <w:rPr>
          <w:rFonts w:hint="eastAsia" w:ascii="仿宋_GB2312" w:hAnsi="仿宋_GB2312" w:eastAsia="仿宋_GB2312" w:cs="仿宋_GB2312"/>
          <w:b/>
          <w:bCs/>
          <w:sz w:val="32"/>
          <w:szCs w:val="32"/>
          <w:lang w:val="en-US" w:eastAsia="zh-CN"/>
        </w:rPr>
        <w:t>1、</w:t>
      </w:r>
      <w:r>
        <w:rPr>
          <w:rFonts w:hint="eastAsia" w:ascii="仿宋_GB2312" w:hAnsi="仿宋_GB2312" w:eastAsia="仿宋_GB2312" w:cs="仿宋_GB2312"/>
          <w:b/>
          <w:bCs/>
          <w:sz w:val="32"/>
          <w:szCs w:val="32"/>
          <w:lang w:eastAsia="zh-CN"/>
        </w:rPr>
        <w:t>评标办法</w:t>
      </w:r>
      <w:r>
        <w:rPr>
          <w:rFonts w:hint="eastAsia" w:ascii="仿宋_GB2312" w:hAnsi="仿宋_GB2312" w:eastAsia="仿宋_GB2312" w:cs="仿宋_GB2312"/>
          <w:sz w:val="32"/>
          <w:szCs w:val="32"/>
          <w:lang w:eastAsia="zh-CN"/>
        </w:rPr>
        <w:t>：综合评分</w:t>
      </w:r>
      <w:r>
        <w:rPr>
          <w:rFonts w:hint="eastAsia" w:ascii="仿宋_GB2312" w:hAnsi="仿宋_GB2312" w:eastAsia="仿宋_GB2312" w:cs="仿宋_GB2312"/>
          <w:kern w:val="0"/>
          <w:sz w:val="32"/>
          <w:szCs w:val="32"/>
          <w:lang w:val="en-US" w:eastAsia="zh-CN"/>
        </w:rPr>
        <w:t>（</w:t>
      </w:r>
      <w:r>
        <w:rPr>
          <w:rFonts w:hint="eastAsia" w:ascii="仿宋_GB2312" w:hAnsi="仿宋_GB2312" w:eastAsia="仿宋_GB2312" w:cs="仿宋_GB2312"/>
          <w:sz w:val="32"/>
          <w:szCs w:val="32"/>
        </w:rPr>
        <w:t>采购数量按实际需求采购，我们招标的是每一品种的</w:t>
      </w:r>
      <w:r>
        <w:rPr>
          <w:rFonts w:hint="eastAsia" w:ascii="仿宋_GB2312" w:hAnsi="仿宋_GB2312" w:eastAsia="仿宋_GB2312" w:cs="仿宋_GB2312"/>
          <w:sz w:val="32"/>
          <w:szCs w:val="32"/>
          <w:lang w:eastAsia="zh-CN"/>
        </w:rPr>
        <w:t>综合费</w:t>
      </w:r>
      <w:r>
        <w:rPr>
          <w:rFonts w:hint="eastAsia" w:ascii="仿宋_GB2312" w:hAnsi="仿宋_GB2312" w:eastAsia="仿宋_GB2312" w:cs="仿宋_GB2312"/>
          <w:sz w:val="32"/>
          <w:szCs w:val="32"/>
        </w:rPr>
        <w:t>率）。</w:t>
      </w:r>
    </w:p>
    <w:p>
      <w:pPr>
        <w:spacing w:line="480" w:lineRule="exac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2、</w:t>
      </w:r>
      <w:r>
        <w:rPr>
          <w:rFonts w:hint="eastAsia" w:ascii="仿宋_GB2312" w:hAnsi="仿宋_GB2312" w:eastAsia="仿宋_GB2312" w:cs="仿宋_GB2312"/>
          <w:b/>
          <w:bCs/>
          <w:sz w:val="32"/>
          <w:szCs w:val="32"/>
          <w:lang w:eastAsia="zh-CN"/>
        </w:rPr>
        <w:t>项目控制金额</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8万元（</w:t>
      </w:r>
      <w:r>
        <w:rPr>
          <w:rFonts w:hint="eastAsia" w:ascii="仿宋_GB2312" w:hAnsi="仿宋_GB2312" w:eastAsia="仿宋_GB2312" w:cs="仿宋_GB2312"/>
          <w:sz w:val="32"/>
          <w:szCs w:val="32"/>
          <w:lang w:eastAsia="zh-CN"/>
        </w:rPr>
        <w:t>综合费</w:t>
      </w:r>
      <w:r>
        <w:rPr>
          <w:rFonts w:hint="eastAsia" w:ascii="仿宋_GB2312" w:hAnsi="仿宋_GB2312" w:eastAsia="仿宋_GB2312" w:cs="仿宋_GB2312"/>
          <w:sz w:val="32"/>
          <w:szCs w:val="32"/>
          <w:lang w:val="en-US" w:eastAsia="zh-CN"/>
        </w:rPr>
        <w:t>率中标后1年使用金额不得超过8万元）。</w:t>
      </w:r>
    </w:p>
    <w:p>
      <w:pPr>
        <w:spacing w:line="480" w:lineRule="exac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3、项目控制年限</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lang w:eastAsia="zh-CN"/>
        </w:rPr>
        <w:t>一年。</w:t>
      </w:r>
      <w:r>
        <w:rPr>
          <w:rFonts w:hint="eastAsia" w:ascii="仿宋_GB2312" w:hAnsi="仿宋_GB2312" w:eastAsia="仿宋_GB2312" w:cs="仿宋_GB2312"/>
          <w:sz w:val="32"/>
          <w:szCs w:val="32"/>
          <w:lang w:val="en-US" w:eastAsia="zh-CN"/>
        </w:rPr>
        <w:t xml:space="preserve"> </w:t>
      </w:r>
    </w:p>
    <w:tbl>
      <w:tblPr>
        <w:tblStyle w:val="5"/>
        <w:tblW w:w="45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91"/>
        <w:gridCol w:w="2401"/>
        <w:gridCol w:w="2930"/>
        <w:gridCol w:w="16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568" w:type="pct"/>
            <w:shd w:val="clear" w:color="auto" w:fill="auto"/>
            <w:noWrap/>
            <w:vAlign w:val="center"/>
          </w:tcPr>
          <w:p>
            <w:pPr>
              <w:widowControl/>
              <w:spacing w:line="300" w:lineRule="exact"/>
              <w:jc w:val="center"/>
              <w:rPr>
                <w:rFonts w:ascii="宋体" w:hAnsi="宋体" w:cs="Arial"/>
                <w:color w:val="000000"/>
                <w:kern w:val="0"/>
                <w:sz w:val="28"/>
                <w:szCs w:val="28"/>
              </w:rPr>
            </w:pPr>
            <w:r>
              <w:rPr>
                <w:rFonts w:hint="eastAsia" w:ascii="宋体" w:hAnsi="宋体" w:cs="Arial"/>
                <w:color w:val="000000"/>
                <w:kern w:val="0"/>
                <w:sz w:val="28"/>
                <w:szCs w:val="28"/>
              </w:rPr>
              <w:t>序号</w:t>
            </w:r>
          </w:p>
        </w:tc>
        <w:tc>
          <w:tcPr>
            <w:tcW w:w="1531" w:type="pct"/>
            <w:shd w:val="clear" w:color="auto" w:fill="FFFFFF"/>
            <w:noWrap w:val="0"/>
            <w:vAlign w:val="center"/>
          </w:tcPr>
          <w:p>
            <w:pPr>
              <w:widowControl/>
              <w:spacing w:line="300" w:lineRule="exact"/>
              <w:ind w:firstLine="280" w:firstLineChars="100"/>
              <w:rPr>
                <w:rFonts w:ascii="Arial" w:hAnsi="Arial" w:cs="Arial"/>
                <w:kern w:val="0"/>
                <w:sz w:val="28"/>
                <w:szCs w:val="28"/>
              </w:rPr>
            </w:pPr>
            <w:r>
              <w:rPr>
                <w:rFonts w:hint="eastAsia" w:ascii="Arial" w:hAnsi="Arial" w:cs="Arial"/>
                <w:kern w:val="0"/>
                <w:sz w:val="28"/>
                <w:szCs w:val="28"/>
              </w:rPr>
              <w:t>货物</w:t>
            </w:r>
            <w:r>
              <w:rPr>
                <w:rFonts w:ascii="Arial" w:hAnsi="Arial" w:cs="Arial"/>
                <w:kern w:val="0"/>
                <w:sz w:val="28"/>
                <w:szCs w:val="28"/>
              </w:rPr>
              <w:t>名称</w:t>
            </w:r>
          </w:p>
        </w:tc>
        <w:tc>
          <w:tcPr>
            <w:tcW w:w="1868" w:type="pct"/>
            <w:shd w:val="clear" w:color="auto" w:fill="FFFFFF"/>
            <w:noWrap w:val="0"/>
            <w:vAlign w:val="center"/>
          </w:tcPr>
          <w:p>
            <w:pPr>
              <w:widowControl/>
              <w:spacing w:line="300" w:lineRule="exact"/>
              <w:jc w:val="center"/>
              <w:rPr>
                <w:rFonts w:ascii="宋体" w:hAnsi="宋体" w:cs="Arial"/>
                <w:kern w:val="0"/>
                <w:sz w:val="28"/>
                <w:szCs w:val="28"/>
              </w:rPr>
            </w:pPr>
            <w:r>
              <w:rPr>
                <w:rFonts w:hint="eastAsia" w:ascii="宋体" w:hAnsi="宋体" w:cs="Arial"/>
                <w:kern w:val="0"/>
                <w:sz w:val="28"/>
                <w:szCs w:val="28"/>
              </w:rPr>
              <w:t>规格</w:t>
            </w:r>
          </w:p>
        </w:tc>
        <w:tc>
          <w:tcPr>
            <w:tcW w:w="1031" w:type="pct"/>
            <w:shd w:val="clear" w:color="auto" w:fill="FFFFFF"/>
            <w:noWrap/>
            <w:vAlign w:val="center"/>
          </w:tcPr>
          <w:p>
            <w:pPr>
              <w:widowControl/>
              <w:spacing w:line="300" w:lineRule="exact"/>
              <w:jc w:val="center"/>
              <w:rPr>
                <w:rFonts w:hint="eastAsia" w:ascii="宋体" w:hAnsi="宋体" w:cs="Arial"/>
                <w:kern w:val="0"/>
                <w:sz w:val="28"/>
                <w:szCs w:val="28"/>
              </w:rPr>
            </w:pPr>
            <w:r>
              <w:rPr>
                <w:rFonts w:hint="eastAsia" w:ascii="宋体" w:hAnsi="宋体" w:cs="Arial"/>
                <w:kern w:val="0"/>
                <w:sz w:val="28"/>
                <w:szCs w:val="28"/>
              </w:rPr>
              <w:t>单价（元）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568" w:type="pct"/>
            <w:shd w:val="clear" w:color="auto" w:fill="auto"/>
            <w:noWrap/>
            <w:vAlign w:val="center"/>
          </w:tcPr>
          <w:p>
            <w:pPr>
              <w:widowControl/>
              <w:spacing w:line="300" w:lineRule="exact"/>
              <w:jc w:val="center"/>
              <w:rPr>
                <w:rFonts w:hint="eastAsia" w:ascii="Arial" w:hAnsi="Arial" w:eastAsia="宋体" w:cs="Arial"/>
                <w:kern w:val="0"/>
                <w:sz w:val="28"/>
                <w:szCs w:val="28"/>
                <w:lang w:val="en-US" w:eastAsia="zh-CN" w:bidi="ar-SA"/>
              </w:rPr>
            </w:pPr>
            <w:r>
              <w:rPr>
                <w:rFonts w:ascii="Arial" w:hAnsi="Arial" w:cs="Arial"/>
                <w:kern w:val="0"/>
                <w:sz w:val="28"/>
                <w:szCs w:val="28"/>
              </w:rPr>
              <w:t>1</w:t>
            </w:r>
          </w:p>
        </w:tc>
        <w:tc>
          <w:tcPr>
            <w:tcW w:w="1531" w:type="pct"/>
            <w:shd w:val="clear" w:color="auto" w:fill="FFFFFF"/>
            <w:noWrap w:val="0"/>
            <w:vAlign w:val="center"/>
          </w:tcPr>
          <w:p>
            <w:pPr>
              <w:widowControl/>
              <w:spacing w:line="300" w:lineRule="exact"/>
              <w:jc w:val="left"/>
              <w:rPr>
                <w:rFonts w:hint="eastAsia" w:ascii="Arial" w:hAnsi="Arial" w:eastAsia="宋体" w:cs="Arial"/>
                <w:kern w:val="0"/>
                <w:sz w:val="28"/>
                <w:szCs w:val="28"/>
                <w:lang w:val="en-US" w:eastAsia="zh-CN" w:bidi="ar-SA"/>
              </w:rPr>
            </w:pPr>
            <w:r>
              <w:rPr>
                <w:rFonts w:hint="eastAsia" w:ascii="Arial" w:hAnsi="Arial" w:cs="Arial"/>
                <w:kern w:val="0"/>
                <w:sz w:val="28"/>
                <w:szCs w:val="28"/>
              </w:rPr>
              <w:t>二氧化碳</w:t>
            </w:r>
          </w:p>
        </w:tc>
        <w:tc>
          <w:tcPr>
            <w:tcW w:w="1868" w:type="pct"/>
            <w:shd w:val="clear" w:color="auto" w:fill="FFFFFF"/>
            <w:noWrap w:val="0"/>
            <w:vAlign w:val="center"/>
          </w:tcPr>
          <w:p>
            <w:pPr>
              <w:widowControl/>
              <w:spacing w:line="300" w:lineRule="exact"/>
              <w:jc w:val="center"/>
              <w:rPr>
                <w:rFonts w:hint="eastAsia" w:ascii="Arial" w:hAnsi="Arial" w:eastAsia="宋体" w:cs="Arial"/>
                <w:kern w:val="0"/>
                <w:sz w:val="28"/>
                <w:szCs w:val="28"/>
                <w:lang w:val="en-US" w:eastAsia="zh-CN" w:bidi="ar-SA"/>
              </w:rPr>
            </w:pPr>
            <w:r>
              <w:rPr>
                <w:rFonts w:hint="eastAsia" w:ascii="Arial" w:hAnsi="Arial" w:cs="Arial"/>
                <w:kern w:val="0"/>
                <w:sz w:val="28"/>
                <w:szCs w:val="28"/>
                <w:lang w:val="en-US" w:eastAsia="zh-CN"/>
              </w:rPr>
              <w:t>40升</w:t>
            </w:r>
            <w:r>
              <w:rPr>
                <w:rFonts w:hint="eastAsia" w:ascii="Arial" w:hAnsi="Arial" w:cs="Arial"/>
                <w:kern w:val="0"/>
                <w:sz w:val="28"/>
                <w:szCs w:val="28"/>
              </w:rPr>
              <w:t>/瓶</w:t>
            </w:r>
          </w:p>
        </w:tc>
        <w:tc>
          <w:tcPr>
            <w:tcW w:w="1031" w:type="pct"/>
            <w:shd w:val="clear" w:color="auto" w:fill="FFFFFF"/>
            <w:noWrap/>
            <w:vAlign w:val="center"/>
          </w:tcPr>
          <w:p>
            <w:pPr>
              <w:widowControl/>
              <w:spacing w:line="300" w:lineRule="exact"/>
              <w:jc w:val="center"/>
              <w:rPr>
                <w:rFonts w:hint="eastAsia" w:ascii="Arial" w:hAnsi="Arial" w:eastAsia="宋体" w:cs="Arial"/>
                <w:kern w:val="0"/>
                <w:sz w:val="28"/>
                <w:szCs w:val="28"/>
                <w:lang w:val="en-US" w:eastAsia="zh-CN" w:bidi="ar-SA"/>
              </w:rPr>
            </w:pPr>
            <w:r>
              <w:rPr>
                <w:rFonts w:hint="eastAsia" w:ascii="Arial" w:hAnsi="Arial" w:cs="Arial"/>
                <w:kern w:val="0"/>
                <w:sz w:val="28"/>
                <w:szCs w:val="28"/>
                <w:lang w:val="en-US" w:eastAsia="zh-CN"/>
              </w:rPr>
              <w:t xml:space="preserve">360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atLeast"/>
          <w:jc w:val="center"/>
        </w:trPr>
        <w:tc>
          <w:tcPr>
            <w:tcW w:w="568" w:type="pct"/>
            <w:shd w:val="clear" w:color="auto" w:fill="auto"/>
            <w:noWrap/>
            <w:vAlign w:val="center"/>
          </w:tcPr>
          <w:p>
            <w:pPr>
              <w:widowControl/>
              <w:spacing w:line="300" w:lineRule="exact"/>
              <w:jc w:val="center"/>
              <w:rPr>
                <w:rFonts w:hint="eastAsia" w:ascii="宋体" w:hAnsi="宋体" w:eastAsia="宋体" w:cs="Arial"/>
                <w:color w:val="000000"/>
                <w:kern w:val="0"/>
                <w:sz w:val="28"/>
                <w:szCs w:val="28"/>
                <w:lang w:val="en-US" w:eastAsia="zh-CN"/>
              </w:rPr>
            </w:pPr>
            <w:r>
              <w:rPr>
                <w:rFonts w:hint="eastAsia" w:ascii="宋体" w:hAnsi="宋体" w:cs="Arial"/>
                <w:color w:val="000000"/>
                <w:kern w:val="0"/>
                <w:sz w:val="28"/>
                <w:szCs w:val="28"/>
                <w:lang w:val="en-US" w:eastAsia="zh-CN"/>
              </w:rPr>
              <w:t>2</w:t>
            </w:r>
          </w:p>
        </w:tc>
        <w:tc>
          <w:tcPr>
            <w:tcW w:w="1531" w:type="pct"/>
            <w:shd w:val="clear" w:color="auto" w:fill="FFFFFF"/>
            <w:noWrap w:val="0"/>
            <w:vAlign w:val="center"/>
          </w:tcPr>
          <w:p>
            <w:pPr>
              <w:widowControl/>
              <w:spacing w:line="300" w:lineRule="exact"/>
              <w:ind w:firstLine="320" w:firstLineChars="100"/>
              <w:rPr>
                <w:rFonts w:hint="eastAsia" w:ascii="Arial" w:hAnsi="Arial" w:cs="Arial"/>
                <w:kern w:val="0"/>
                <w:sz w:val="28"/>
                <w:szCs w:val="28"/>
              </w:rPr>
            </w:pPr>
            <w:r>
              <w:rPr>
                <w:rFonts w:hint="eastAsia" w:ascii="仿宋_GB2312" w:hAnsi="仿宋_GB2312" w:eastAsia="仿宋_GB2312" w:cs="仿宋_GB2312"/>
                <w:b w:val="0"/>
                <w:bCs/>
                <w:sz w:val="32"/>
                <w:szCs w:val="32"/>
                <w:lang w:eastAsia="zh-CN"/>
              </w:rPr>
              <w:t>液氮</w:t>
            </w:r>
          </w:p>
        </w:tc>
        <w:tc>
          <w:tcPr>
            <w:tcW w:w="1868" w:type="pct"/>
            <w:shd w:val="clear" w:color="auto" w:fill="FFFFFF"/>
            <w:noWrap w:val="0"/>
            <w:vAlign w:val="center"/>
          </w:tcPr>
          <w:p>
            <w:pPr>
              <w:widowControl/>
              <w:spacing w:line="300" w:lineRule="exact"/>
              <w:jc w:val="center"/>
              <w:rPr>
                <w:rFonts w:hint="eastAsia" w:ascii="宋体" w:hAnsi="宋体" w:cs="Arial"/>
                <w:kern w:val="0"/>
                <w:sz w:val="28"/>
                <w:szCs w:val="28"/>
              </w:rPr>
            </w:pPr>
            <w:r>
              <w:rPr>
                <w:rFonts w:hint="eastAsia" w:ascii="Arial" w:hAnsi="Arial" w:cs="Arial"/>
                <w:kern w:val="0"/>
                <w:sz w:val="28"/>
                <w:szCs w:val="28"/>
                <w:lang w:val="en-US" w:eastAsia="zh-CN"/>
              </w:rPr>
              <w:t>10升</w:t>
            </w:r>
            <w:r>
              <w:rPr>
                <w:rFonts w:hint="eastAsia" w:ascii="Arial" w:hAnsi="Arial" w:cs="Arial"/>
                <w:kern w:val="0"/>
                <w:sz w:val="28"/>
                <w:szCs w:val="28"/>
              </w:rPr>
              <w:t>/瓶</w:t>
            </w:r>
          </w:p>
        </w:tc>
        <w:tc>
          <w:tcPr>
            <w:tcW w:w="1031" w:type="pct"/>
            <w:shd w:val="clear" w:color="auto" w:fill="FFFFFF"/>
            <w:noWrap/>
            <w:vAlign w:val="center"/>
          </w:tcPr>
          <w:p>
            <w:pPr>
              <w:widowControl/>
              <w:spacing w:line="300" w:lineRule="exact"/>
              <w:jc w:val="center"/>
              <w:rPr>
                <w:rFonts w:hint="default" w:ascii="宋体" w:hAnsi="宋体" w:eastAsia="宋体" w:cs="Arial"/>
                <w:kern w:val="0"/>
                <w:sz w:val="28"/>
                <w:szCs w:val="28"/>
                <w:lang w:val="en-US" w:eastAsia="zh-CN"/>
              </w:rPr>
            </w:pPr>
            <w:r>
              <w:rPr>
                <w:rFonts w:hint="eastAsia" w:ascii="宋体" w:hAnsi="宋体" w:cs="Arial"/>
                <w:kern w:val="0"/>
                <w:sz w:val="28"/>
                <w:szCs w:val="28"/>
                <w:lang w:val="en-US" w:eastAsia="zh-CN"/>
              </w:rPr>
              <w:t>360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6" w:hRule="atLeast"/>
          <w:jc w:val="center"/>
        </w:trPr>
        <w:tc>
          <w:tcPr>
            <w:tcW w:w="568" w:type="pct"/>
            <w:shd w:val="clear" w:color="auto" w:fill="auto"/>
            <w:noWrap/>
            <w:vAlign w:val="center"/>
          </w:tcPr>
          <w:p>
            <w:pPr>
              <w:widowControl/>
              <w:spacing w:line="300" w:lineRule="exact"/>
              <w:jc w:val="center"/>
              <w:rPr>
                <w:rFonts w:hint="eastAsia" w:ascii="Arial" w:hAnsi="Arial" w:eastAsia="宋体" w:cs="Arial"/>
                <w:kern w:val="0"/>
                <w:sz w:val="28"/>
                <w:szCs w:val="28"/>
                <w:lang w:val="en-US" w:eastAsia="zh-CN"/>
              </w:rPr>
            </w:pPr>
            <w:r>
              <w:rPr>
                <w:rFonts w:hint="eastAsia" w:ascii="Arial" w:hAnsi="Arial" w:cs="Arial"/>
                <w:kern w:val="0"/>
                <w:sz w:val="28"/>
                <w:szCs w:val="28"/>
                <w:lang w:val="en-US" w:eastAsia="zh-CN"/>
              </w:rPr>
              <w:t>3</w:t>
            </w:r>
          </w:p>
        </w:tc>
        <w:tc>
          <w:tcPr>
            <w:tcW w:w="1531" w:type="pct"/>
            <w:shd w:val="clear" w:color="auto" w:fill="FFFFFF"/>
            <w:noWrap w:val="0"/>
            <w:vAlign w:val="center"/>
          </w:tcPr>
          <w:p>
            <w:pPr>
              <w:widowControl/>
              <w:spacing w:line="300" w:lineRule="exact"/>
              <w:jc w:val="left"/>
              <w:rPr>
                <w:rFonts w:hint="eastAsia" w:ascii="Arial" w:hAnsi="Arial" w:cs="Arial"/>
                <w:kern w:val="0"/>
                <w:sz w:val="28"/>
                <w:szCs w:val="28"/>
              </w:rPr>
            </w:pPr>
            <w:r>
              <w:rPr>
                <w:rFonts w:hint="eastAsia" w:ascii="仿宋_GB2312" w:hAnsi="仿宋_GB2312" w:eastAsia="仿宋_GB2312" w:cs="仿宋_GB2312"/>
                <w:sz w:val="32"/>
                <w:szCs w:val="32"/>
                <w:vertAlign w:val="baseline"/>
                <w:lang w:eastAsia="zh-CN"/>
              </w:rPr>
              <w:t>标准混合气体</w:t>
            </w:r>
          </w:p>
        </w:tc>
        <w:tc>
          <w:tcPr>
            <w:tcW w:w="1868" w:type="pct"/>
            <w:shd w:val="clear" w:color="auto" w:fill="FFFFFF"/>
            <w:noWrap w:val="0"/>
            <w:vAlign w:val="center"/>
          </w:tcPr>
          <w:p>
            <w:pPr>
              <w:widowControl/>
              <w:spacing w:line="300" w:lineRule="exact"/>
              <w:jc w:val="center"/>
              <w:rPr>
                <w:rFonts w:hint="eastAsia" w:ascii="Arial" w:hAnsi="Arial" w:cs="Arial"/>
                <w:kern w:val="0"/>
                <w:sz w:val="28"/>
                <w:szCs w:val="28"/>
              </w:rPr>
            </w:pPr>
            <w:r>
              <w:rPr>
                <w:rFonts w:hint="eastAsia" w:ascii="Arial" w:hAnsi="Arial" w:cs="Arial"/>
                <w:kern w:val="0"/>
                <w:sz w:val="28"/>
                <w:szCs w:val="28"/>
                <w:lang w:val="en-US" w:eastAsia="zh-CN"/>
              </w:rPr>
              <w:t>40升</w:t>
            </w:r>
            <w:r>
              <w:rPr>
                <w:rFonts w:hint="eastAsia" w:ascii="Arial" w:hAnsi="Arial" w:cs="Arial"/>
                <w:kern w:val="0"/>
                <w:sz w:val="28"/>
                <w:szCs w:val="28"/>
              </w:rPr>
              <w:t>/瓶</w:t>
            </w:r>
          </w:p>
        </w:tc>
        <w:tc>
          <w:tcPr>
            <w:tcW w:w="1031" w:type="pct"/>
            <w:shd w:val="clear" w:color="auto" w:fill="FFFFFF"/>
            <w:noWrap/>
            <w:vAlign w:val="center"/>
          </w:tcPr>
          <w:p>
            <w:pPr>
              <w:widowControl/>
              <w:spacing w:line="300" w:lineRule="exact"/>
              <w:jc w:val="center"/>
              <w:rPr>
                <w:rFonts w:hint="default" w:ascii="Arial" w:hAnsi="Arial" w:eastAsia="宋体" w:cs="Arial"/>
                <w:kern w:val="0"/>
                <w:sz w:val="28"/>
                <w:szCs w:val="28"/>
                <w:lang w:val="en-US" w:eastAsia="zh-CN"/>
              </w:rPr>
            </w:pPr>
            <w:r>
              <w:rPr>
                <w:rFonts w:hint="eastAsia" w:ascii="Arial" w:hAnsi="Arial" w:cs="Arial"/>
                <w:kern w:val="0"/>
                <w:sz w:val="28"/>
                <w:szCs w:val="28"/>
                <w:lang w:val="en-US" w:eastAsia="zh-CN"/>
              </w:rPr>
              <w:t>3300</w:t>
            </w:r>
          </w:p>
        </w:tc>
      </w:tr>
    </w:tbl>
    <w:p>
      <w:pPr>
        <w:pStyle w:val="2"/>
        <w:rPr>
          <w:rFonts w:hint="eastAsia"/>
        </w:rPr>
      </w:pPr>
    </w:p>
    <w:p>
      <w:pPr>
        <w:spacing w:line="440" w:lineRule="exact"/>
        <w:ind w:firstLine="3226" w:firstLineChars="1100"/>
        <w:rPr>
          <w:rFonts w:hint="eastAsia" w:ascii="仿宋_GB2312" w:hAnsi="仿宋_GB2312" w:eastAsia="仿宋_GB2312" w:cs="仿宋_GB2312"/>
          <w:b/>
          <w:bCs/>
          <w:spacing w:val="-14"/>
          <w:sz w:val="32"/>
          <w:szCs w:val="32"/>
        </w:rPr>
      </w:pPr>
      <w:r>
        <w:rPr>
          <w:rFonts w:hint="eastAsia" w:ascii="仿宋_GB2312" w:hAnsi="仿宋_GB2312" w:eastAsia="仿宋_GB2312" w:cs="仿宋_GB2312"/>
          <w:b/>
          <w:bCs/>
          <w:spacing w:val="-14"/>
          <w:sz w:val="32"/>
          <w:szCs w:val="32"/>
        </w:rPr>
        <w:t>（ 二）服务要求</w:t>
      </w:r>
    </w:p>
    <w:p>
      <w:pPr>
        <w:spacing w:line="44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技术参数：</w:t>
      </w:r>
    </w:p>
    <w:p>
      <w:pPr>
        <w:spacing w:line="520" w:lineRule="exact"/>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lang w:val="en-US" w:eastAsia="zh-CN"/>
        </w:rPr>
        <w:t>1、</w:t>
      </w:r>
      <w:r>
        <w:rPr>
          <w:rFonts w:hint="eastAsia" w:ascii="仿宋_GB2312" w:hAnsi="仿宋_GB2312" w:eastAsia="仿宋_GB2312" w:cs="仿宋_GB2312"/>
          <w:b/>
          <w:bCs/>
          <w:sz w:val="32"/>
          <w:szCs w:val="32"/>
        </w:rPr>
        <w:t>二氧化碳特点：</w:t>
      </w:r>
    </w:p>
    <w:p>
      <w:pPr>
        <w:spacing w:line="520" w:lineRule="exact"/>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英文名carbon dioxide别    称碳酸气、碳酸酐、干冰（固态）等 [7] 化学式CO₂ 分子量44.0095 [1] CAS登录号124－38－9 [2] EINECS登录号204-696-9 [2] 熔    点-56.6（527kPa） [2] 沸    点-78.5（升华） [2] 水溶性小于0.05%（22.9℃） [2] 外    观常温常压下是一种无色无味或无色无嗅而略有酸味的气体闪    点无 [2] 应    用冷藏易腐败的食品、做制冷剂、制造碳化软饮料等 [2] 气态密度1.997g/L（0℃，101.325kPa） [8] 液态密度0.9295kg/L（0℃，101.3485kPa） [8] 固态密度1.56kg/L（-79℃） [2] 三相点-56.6℃（517.97kPa） [8] 制备方法石灰石和稀盐酸反应制取等 [2] 分子直径0.35～0.51nm [9] 二氧化碳（食品添加剂）与普通二氧化碳就是纯度的区别，大于等于99.9%。</w:t>
      </w:r>
    </w:p>
    <w:p>
      <w:pPr>
        <w:numPr>
          <w:ilvl w:val="0"/>
          <w:numId w:val="1"/>
        </w:numPr>
        <w:rPr>
          <w:rFonts w:hint="eastAsia" w:ascii="仿宋_GB2312" w:hAnsi="仿宋_GB2312" w:eastAsia="仿宋_GB2312" w:cs="仿宋_GB2312"/>
          <w:b/>
          <w:bCs/>
          <w:sz w:val="32"/>
          <w:szCs w:val="32"/>
          <w:vertAlign w:val="baseline"/>
          <w:lang w:eastAsia="zh-CN"/>
        </w:rPr>
      </w:pPr>
      <w:r>
        <w:rPr>
          <w:rFonts w:hint="eastAsia" w:ascii="仿宋_GB2312" w:hAnsi="仿宋_GB2312" w:eastAsia="仿宋_GB2312" w:cs="仿宋_GB2312"/>
          <w:b/>
          <w:bCs/>
          <w:sz w:val="32"/>
          <w:szCs w:val="32"/>
          <w:vertAlign w:val="baseline"/>
          <w:lang w:eastAsia="zh-CN"/>
        </w:rPr>
        <w:t>标准混合气体，</w:t>
      </w:r>
    </w:p>
    <w:p>
      <w:pPr>
        <w:numPr>
          <w:ilvl w:val="0"/>
          <w:numId w:val="0"/>
        </w:numPr>
        <w:rPr>
          <w:rFonts w:hint="eastAsia" w:ascii="仿宋_GB2312" w:hAnsi="仿宋_GB2312" w:eastAsia="仿宋_GB2312" w:cs="仿宋_GB2312"/>
          <w:b/>
          <w:bCs/>
          <w:sz w:val="32"/>
          <w:szCs w:val="32"/>
          <w:vertAlign w:val="baseline"/>
          <w:lang w:val="en-US" w:eastAsia="zh-CN"/>
        </w:rPr>
      </w:pPr>
      <w:r>
        <w:rPr>
          <w:rFonts w:hint="eastAsia" w:ascii="仿宋_GB2312" w:hAnsi="仿宋_GB2312" w:eastAsia="仿宋_GB2312" w:cs="仿宋_GB2312"/>
          <w:b/>
          <w:bCs/>
          <w:sz w:val="32"/>
          <w:szCs w:val="32"/>
          <w:vertAlign w:val="baseline"/>
          <w:lang w:val="en-US" w:eastAsia="zh-CN"/>
        </w:rPr>
        <w:t>CO  0.28*10-2、HE  9.93*10-2、AIR  余量。</w:t>
      </w:r>
    </w:p>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526" w:afterAutospacing="0" w:line="390" w:lineRule="atLeast"/>
        <w:ind w:left="0" w:right="0"/>
        <w:rPr>
          <w:rFonts w:hint="eastAsia" w:ascii="仿宋_GB2312" w:hAnsi="仿宋_GB2312" w:eastAsia="仿宋_GB2312" w:cs="仿宋_GB2312"/>
          <w:b/>
          <w:bCs w:val="0"/>
          <w:color w:val="auto"/>
          <w:sz w:val="32"/>
          <w:szCs w:val="32"/>
          <w:lang w:eastAsia="zh-CN"/>
        </w:rPr>
      </w:pPr>
      <w:r>
        <w:rPr>
          <w:rFonts w:hint="eastAsia" w:ascii="仿宋_GB2312" w:hAnsi="仿宋_GB2312" w:eastAsia="仿宋_GB2312" w:cs="仿宋_GB2312"/>
          <w:b/>
          <w:bCs w:val="0"/>
          <w:color w:val="auto"/>
          <w:sz w:val="32"/>
          <w:szCs w:val="32"/>
          <w:vertAlign w:val="baseline"/>
          <w:lang w:val="en-US" w:eastAsia="zh-CN"/>
        </w:rPr>
        <w:t>3、</w:t>
      </w:r>
      <w:r>
        <w:rPr>
          <w:rFonts w:hint="eastAsia" w:ascii="仿宋_GB2312" w:hAnsi="仿宋_GB2312" w:eastAsia="仿宋_GB2312" w:cs="仿宋_GB2312"/>
          <w:b/>
          <w:bCs w:val="0"/>
          <w:color w:val="auto"/>
          <w:sz w:val="32"/>
          <w:szCs w:val="32"/>
          <w:lang w:eastAsia="zh-CN"/>
        </w:rPr>
        <w:t>液氮，</w:t>
      </w:r>
      <w:r>
        <w:rPr>
          <w:rFonts w:hint="eastAsia" w:ascii="仿宋_GB2312" w:hAnsi="仿宋_GB2312" w:eastAsia="仿宋_GB2312" w:cs="仿宋_GB2312"/>
          <w:b/>
          <w:bCs w:val="0"/>
          <w:i w:val="0"/>
          <w:caps w:val="0"/>
          <w:color w:val="auto"/>
          <w:spacing w:val="0"/>
          <w:sz w:val="32"/>
          <w:szCs w:val="32"/>
          <w:shd w:val="clear" w:color="auto" w:fill="FFFFFF"/>
        </w:rPr>
        <w:t>化学式</w:t>
      </w:r>
      <w:r>
        <w:rPr>
          <w:rFonts w:hint="eastAsia" w:ascii="仿宋_GB2312" w:hAnsi="仿宋_GB2312" w:eastAsia="仿宋_GB2312" w:cs="仿宋_GB2312"/>
          <w:b/>
          <w:bCs w:val="0"/>
          <w:i w:val="0"/>
          <w:caps w:val="0"/>
          <w:color w:val="auto"/>
          <w:spacing w:val="0"/>
          <w:sz w:val="32"/>
          <w:szCs w:val="32"/>
          <w:shd w:val="clear" w:color="auto" w:fill="FFFFFF"/>
          <w:lang w:val="en-US" w:eastAsia="zh-CN"/>
        </w:rPr>
        <w:t xml:space="preserve">  </w:t>
      </w:r>
      <w:r>
        <w:rPr>
          <w:rFonts w:hint="eastAsia" w:ascii="仿宋_GB2312" w:hAnsi="仿宋_GB2312" w:eastAsia="仿宋_GB2312" w:cs="仿宋_GB2312"/>
          <w:b/>
          <w:bCs w:val="0"/>
          <w:i w:val="0"/>
          <w:caps w:val="0"/>
          <w:color w:val="auto"/>
          <w:spacing w:val="0"/>
          <w:sz w:val="32"/>
          <w:szCs w:val="32"/>
          <w:shd w:val="clear" w:color="auto" w:fill="FFFFFF"/>
        </w:rPr>
        <w:t>N</w:t>
      </w:r>
      <w:r>
        <w:rPr>
          <w:rFonts w:hint="eastAsia" w:ascii="仿宋_GB2312" w:hAnsi="仿宋_GB2312" w:eastAsia="仿宋_GB2312" w:cs="仿宋_GB2312"/>
          <w:b/>
          <w:bCs w:val="0"/>
          <w:i w:val="0"/>
          <w:caps w:val="0"/>
          <w:color w:val="auto"/>
          <w:spacing w:val="0"/>
          <w:sz w:val="32"/>
          <w:szCs w:val="32"/>
          <w:shd w:val="clear" w:color="auto" w:fill="FFFFFF"/>
          <w:vertAlign w:val="baseline"/>
        </w:rPr>
        <w:t>2</w:t>
      </w:r>
      <w:r>
        <w:rPr>
          <w:rFonts w:hint="eastAsia" w:ascii="仿宋_GB2312" w:hAnsi="仿宋_GB2312" w:eastAsia="仿宋_GB2312" w:cs="仿宋_GB2312"/>
          <w:b/>
          <w:bCs w:val="0"/>
          <w:i w:val="0"/>
          <w:caps w:val="0"/>
          <w:color w:val="auto"/>
          <w:spacing w:val="0"/>
          <w:sz w:val="32"/>
          <w:szCs w:val="32"/>
          <w:shd w:val="clear" w:color="auto" w:fill="FFFFFF"/>
          <w:vertAlign w:val="baseline"/>
          <w:lang w:eastAsia="zh-CN"/>
        </w:rPr>
        <w:t>、</w:t>
      </w:r>
      <w:r>
        <w:rPr>
          <w:rFonts w:hint="eastAsia" w:ascii="仿宋_GB2312" w:hAnsi="仿宋_GB2312" w:eastAsia="仿宋_GB2312" w:cs="仿宋_GB2312"/>
          <w:b/>
          <w:bCs w:val="0"/>
          <w:i w:val="0"/>
          <w:caps w:val="0"/>
          <w:color w:val="auto"/>
          <w:spacing w:val="0"/>
          <w:sz w:val="32"/>
          <w:szCs w:val="32"/>
          <w:shd w:val="clear" w:color="auto" w:fill="FFFFFF"/>
          <w:vertAlign w:val="baseline"/>
          <w:lang w:val="en-US" w:eastAsia="zh-CN"/>
        </w:rPr>
        <w:t xml:space="preserve">  </w:t>
      </w:r>
      <w:r>
        <w:rPr>
          <w:rFonts w:hint="eastAsia" w:ascii="仿宋_GB2312" w:hAnsi="仿宋_GB2312" w:eastAsia="仿宋_GB2312" w:cs="仿宋_GB2312"/>
          <w:b/>
          <w:bCs w:val="0"/>
          <w:i w:val="0"/>
          <w:caps w:val="0"/>
          <w:color w:val="auto"/>
          <w:spacing w:val="0"/>
          <w:sz w:val="32"/>
          <w:szCs w:val="32"/>
          <w:shd w:val="clear" w:color="auto" w:fill="FFFFFF"/>
        </w:rPr>
        <w:t>分子量</w:t>
      </w:r>
      <w:r>
        <w:rPr>
          <w:rFonts w:hint="eastAsia" w:ascii="仿宋_GB2312" w:hAnsi="仿宋_GB2312" w:eastAsia="仿宋_GB2312" w:cs="仿宋_GB2312"/>
          <w:b/>
          <w:bCs w:val="0"/>
          <w:i w:val="0"/>
          <w:caps w:val="0"/>
          <w:color w:val="auto"/>
          <w:spacing w:val="0"/>
          <w:sz w:val="32"/>
          <w:szCs w:val="32"/>
          <w:shd w:val="clear" w:color="auto" w:fill="FFFFFF"/>
          <w:lang w:val="en-US" w:eastAsia="zh-CN"/>
        </w:rPr>
        <w:t xml:space="preserve">  </w:t>
      </w:r>
      <w:r>
        <w:rPr>
          <w:rFonts w:hint="eastAsia" w:ascii="仿宋_GB2312" w:hAnsi="仿宋_GB2312" w:eastAsia="仿宋_GB2312" w:cs="仿宋_GB2312"/>
          <w:b/>
          <w:bCs w:val="0"/>
          <w:i w:val="0"/>
          <w:caps w:val="0"/>
          <w:color w:val="auto"/>
          <w:spacing w:val="0"/>
          <w:sz w:val="32"/>
          <w:szCs w:val="32"/>
          <w:shd w:val="clear" w:color="auto" w:fill="FFFFFF"/>
        </w:rPr>
        <w:t>28.01</w:t>
      </w:r>
      <w:r>
        <w:rPr>
          <w:rFonts w:hint="eastAsia" w:ascii="仿宋_GB2312" w:hAnsi="仿宋_GB2312" w:eastAsia="仿宋_GB2312" w:cs="仿宋_GB2312"/>
          <w:b/>
          <w:bCs w:val="0"/>
          <w:i w:val="0"/>
          <w:caps w:val="0"/>
          <w:color w:val="auto"/>
          <w:spacing w:val="0"/>
          <w:sz w:val="32"/>
          <w:szCs w:val="32"/>
          <w:shd w:val="clear" w:color="auto" w:fill="FFFFFF"/>
          <w:lang w:val="en-US" w:eastAsia="zh-CN"/>
        </w:rPr>
        <w:t xml:space="preserve"> 、</w:t>
      </w:r>
      <w:r>
        <w:rPr>
          <w:rFonts w:hint="eastAsia" w:ascii="仿宋_GB2312" w:hAnsi="仿宋_GB2312" w:eastAsia="仿宋_GB2312" w:cs="仿宋_GB2312"/>
          <w:b/>
          <w:bCs w:val="0"/>
          <w:i w:val="0"/>
          <w:caps w:val="0"/>
          <w:color w:val="auto"/>
          <w:spacing w:val="0"/>
          <w:sz w:val="32"/>
          <w:szCs w:val="32"/>
          <w:shd w:val="clear" w:color="auto" w:fill="FFFFFF"/>
        </w:rPr>
        <w:t>熔    点-210 ℃</w:t>
      </w:r>
      <w:r>
        <w:rPr>
          <w:rFonts w:hint="eastAsia" w:ascii="仿宋_GB2312" w:hAnsi="仿宋_GB2312" w:eastAsia="仿宋_GB2312" w:cs="仿宋_GB2312"/>
          <w:b/>
          <w:bCs w:val="0"/>
          <w:i w:val="0"/>
          <w:caps w:val="0"/>
          <w:color w:val="auto"/>
          <w:spacing w:val="0"/>
          <w:sz w:val="32"/>
          <w:szCs w:val="32"/>
          <w:shd w:val="clear" w:color="auto" w:fill="FFFFFF"/>
          <w:lang w:eastAsia="zh-CN"/>
        </w:rPr>
        <w:t>、</w:t>
      </w:r>
      <w:r>
        <w:rPr>
          <w:rFonts w:hint="eastAsia" w:ascii="仿宋_GB2312" w:hAnsi="仿宋_GB2312" w:eastAsia="仿宋_GB2312" w:cs="仿宋_GB2312"/>
          <w:b/>
          <w:bCs w:val="0"/>
          <w:i w:val="0"/>
          <w:caps w:val="0"/>
          <w:color w:val="auto"/>
          <w:spacing w:val="0"/>
          <w:sz w:val="32"/>
          <w:szCs w:val="32"/>
          <w:shd w:val="clear" w:color="auto" w:fill="FFFFFF"/>
        </w:rPr>
        <w:t>沸    点-196 ℃</w:t>
      </w:r>
      <w:r>
        <w:rPr>
          <w:rFonts w:hint="eastAsia" w:ascii="仿宋_GB2312" w:hAnsi="仿宋_GB2312" w:eastAsia="仿宋_GB2312" w:cs="仿宋_GB2312"/>
          <w:b/>
          <w:bCs w:val="0"/>
          <w:i w:val="0"/>
          <w:caps w:val="0"/>
          <w:color w:val="auto"/>
          <w:spacing w:val="0"/>
          <w:sz w:val="32"/>
          <w:szCs w:val="32"/>
          <w:shd w:val="clear" w:color="auto" w:fill="FFFFFF"/>
          <w:lang w:eastAsia="zh-CN"/>
        </w:rPr>
        <w:t>、</w:t>
      </w:r>
      <w:r>
        <w:rPr>
          <w:rFonts w:hint="eastAsia" w:ascii="仿宋_GB2312" w:hAnsi="仿宋_GB2312" w:eastAsia="仿宋_GB2312" w:cs="仿宋_GB2312"/>
          <w:b/>
          <w:bCs w:val="0"/>
          <w:i w:val="0"/>
          <w:caps w:val="0"/>
          <w:color w:val="auto"/>
          <w:spacing w:val="0"/>
          <w:sz w:val="32"/>
          <w:szCs w:val="32"/>
          <w:shd w:val="clear" w:color="auto" w:fill="FFFFFF"/>
        </w:rPr>
        <w:t>水溶性</w:t>
      </w:r>
      <w:r>
        <w:rPr>
          <w:rFonts w:hint="eastAsia" w:ascii="仿宋_GB2312" w:hAnsi="仿宋_GB2312" w:eastAsia="仿宋_GB2312" w:cs="仿宋_GB2312"/>
          <w:b/>
          <w:bCs w:val="0"/>
          <w:i w:val="0"/>
          <w:caps w:val="0"/>
          <w:color w:val="auto"/>
          <w:spacing w:val="0"/>
          <w:sz w:val="32"/>
          <w:szCs w:val="32"/>
          <w:shd w:val="clear" w:color="auto" w:fill="FFFFFF"/>
          <w:lang w:val="en-US" w:eastAsia="zh-CN"/>
        </w:rPr>
        <w:t xml:space="preserve"> </w:t>
      </w:r>
      <w:r>
        <w:rPr>
          <w:rFonts w:hint="eastAsia" w:ascii="仿宋_GB2312" w:hAnsi="仿宋_GB2312" w:eastAsia="仿宋_GB2312" w:cs="仿宋_GB2312"/>
          <w:b/>
          <w:bCs w:val="0"/>
          <w:i w:val="0"/>
          <w:caps w:val="0"/>
          <w:color w:val="auto"/>
          <w:spacing w:val="0"/>
          <w:sz w:val="32"/>
          <w:szCs w:val="32"/>
          <w:shd w:val="clear" w:color="auto" w:fill="FFFFFF"/>
        </w:rPr>
        <w:t>微溶</w:t>
      </w:r>
      <w:r>
        <w:rPr>
          <w:rFonts w:hint="eastAsia" w:ascii="仿宋_GB2312" w:hAnsi="仿宋_GB2312" w:eastAsia="仿宋_GB2312" w:cs="仿宋_GB2312"/>
          <w:b/>
          <w:bCs w:val="0"/>
          <w:i w:val="0"/>
          <w:caps w:val="0"/>
          <w:color w:val="auto"/>
          <w:spacing w:val="0"/>
          <w:sz w:val="32"/>
          <w:szCs w:val="32"/>
          <w:shd w:val="clear" w:color="auto" w:fill="FFFFFF"/>
          <w:lang w:eastAsia="zh-CN"/>
        </w:rPr>
        <w:t>、</w:t>
      </w:r>
      <w:r>
        <w:rPr>
          <w:rFonts w:hint="eastAsia" w:ascii="仿宋_GB2312" w:hAnsi="仿宋_GB2312" w:eastAsia="仿宋_GB2312" w:cs="仿宋_GB2312"/>
          <w:b/>
          <w:bCs w:val="0"/>
          <w:i w:val="0"/>
          <w:caps w:val="0"/>
          <w:color w:val="auto"/>
          <w:spacing w:val="0"/>
          <w:sz w:val="32"/>
          <w:szCs w:val="32"/>
          <w:shd w:val="clear" w:color="auto" w:fill="FFFFFF"/>
        </w:rPr>
        <w:t>外观</w:t>
      </w:r>
      <w:r>
        <w:rPr>
          <w:rFonts w:hint="eastAsia" w:ascii="仿宋_GB2312" w:hAnsi="仿宋_GB2312" w:eastAsia="仿宋_GB2312" w:cs="仿宋_GB2312"/>
          <w:b/>
          <w:bCs w:val="0"/>
          <w:i w:val="0"/>
          <w:caps w:val="0"/>
          <w:color w:val="auto"/>
          <w:spacing w:val="0"/>
          <w:sz w:val="32"/>
          <w:szCs w:val="32"/>
          <w:shd w:val="clear" w:color="auto" w:fill="FFFFFF"/>
          <w:lang w:val="en-US" w:eastAsia="zh-CN"/>
        </w:rPr>
        <w:t xml:space="preserve"> </w:t>
      </w:r>
      <w:r>
        <w:rPr>
          <w:rFonts w:hint="eastAsia" w:ascii="仿宋_GB2312" w:hAnsi="仿宋_GB2312" w:eastAsia="仿宋_GB2312" w:cs="仿宋_GB2312"/>
          <w:b/>
          <w:bCs w:val="0"/>
          <w:i w:val="0"/>
          <w:caps w:val="0"/>
          <w:color w:val="auto"/>
          <w:spacing w:val="0"/>
          <w:sz w:val="32"/>
          <w:szCs w:val="32"/>
          <w:shd w:val="clear" w:color="auto" w:fill="FFFFFF"/>
        </w:rPr>
        <w:t>无色透明液体</w:t>
      </w:r>
      <w:r>
        <w:rPr>
          <w:rFonts w:hint="eastAsia" w:ascii="仿宋_GB2312" w:hAnsi="仿宋_GB2312" w:eastAsia="仿宋_GB2312" w:cs="仿宋_GB2312"/>
          <w:b/>
          <w:bCs w:val="0"/>
          <w:i w:val="0"/>
          <w:caps w:val="0"/>
          <w:color w:val="auto"/>
          <w:spacing w:val="0"/>
          <w:sz w:val="32"/>
          <w:szCs w:val="32"/>
          <w:shd w:val="clear" w:color="auto" w:fill="FFFFFF"/>
          <w:lang w:eastAsia="zh-CN"/>
        </w:rPr>
        <w:t>、</w:t>
      </w:r>
      <w:r>
        <w:rPr>
          <w:rFonts w:hint="eastAsia" w:ascii="仿宋_GB2312" w:hAnsi="仿宋_GB2312" w:eastAsia="仿宋_GB2312" w:cs="仿宋_GB2312"/>
          <w:b/>
          <w:bCs w:val="0"/>
          <w:i w:val="0"/>
          <w:caps w:val="0"/>
          <w:color w:val="auto"/>
          <w:spacing w:val="0"/>
          <w:sz w:val="32"/>
          <w:szCs w:val="32"/>
          <w:shd w:val="clear" w:color="auto" w:fill="FFFFFF"/>
        </w:rPr>
        <w:t>应 用</w:t>
      </w:r>
      <w:r>
        <w:rPr>
          <w:rFonts w:hint="eastAsia" w:ascii="仿宋_GB2312" w:hAnsi="仿宋_GB2312" w:eastAsia="仿宋_GB2312" w:cs="仿宋_GB2312"/>
          <w:b/>
          <w:bCs w:val="0"/>
          <w:i w:val="0"/>
          <w:caps w:val="0"/>
          <w:color w:val="auto"/>
          <w:spacing w:val="0"/>
          <w:sz w:val="32"/>
          <w:szCs w:val="32"/>
          <w:shd w:val="clear" w:color="auto" w:fill="FFFFFF"/>
          <w:lang w:val="en-US" w:eastAsia="zh-CN"/>
        </w:rPr>
        <w:t xml:space="preserve"> </w:t>
      </w:r>
      <w:r>
        <w:rPr>
          <w:rFonts w:hint="eastAsia" w:ascii="仿宋_GB2312" w:hAnsi="仿宋_GB2312" w:eastAsia="仿宋_GB2312" w:cs="仿宋_GB2312"/>
          <w:b/>
          <w:bCs w:val="0"/>
          <w:i w:val="0"/>
          <w:caps w:val="0"/>
          <w:color w:val="auto"/>
          <w:spacing w:val="0"/>
          <w:sz w:val="32"/>
          <w:szCs w:val="32"/>
          <w:shd w:val="clear" w:color="auto" w:fill="FFFFFF"/>
        </w:rPr>
        <w:t>快速冷冻、冷冻麻醉</w:t>
      </w:r>
      <w:r>
        <w:rPr>
          <w:rFonts w:hint="eastAsia" w:ascii="仿宋_GB2312" w:hAnsi="仿宋_GB2312" w:eastAsia="仿宋_GB2312" w:cs="仿宋_GB2312"/>
          <w:b/>
          <w:bCs w:val="0"/>
          <w:i w:val="0"/>
          <w:caps w:val="0"/>
          <w:color w:val="auto"/>
          <w:spacing w:val="0"/>
          <w:sz w:val="32"/>
          <w:szCs w:val="32"/>
          <w:shd w:val="clear" w:color="auto" w:fill="FFFFFF"/>
          <w:lang w:eastAsia="zh-CN"/>
        </w:rPr>
        <w:t>、</w:t>
      </w:r>
      <w:r>
        <w:rPr>
          <w:rFonts w:hint="eastAsia" w:ascii="仿宋_GB2312" w:hAnsi="仿宋_GB2312" w:eastAsia="仿宋_GB2312" w:cs="仿宋_GB2312"/>
          <w:b/>
          <w:bCs w:val="0"/>
          <w:i w:val="0"/>
          <w:caps w:val="0"/>
          <w:color w:val="auto"/>
          <w:spacing w:val="0"/>
          <w:sz w:val="32"/>
          <w:szCs w:val="32"/>
          <w:shd w:val="clear" w:color="auto" w:fill="FFFFFF"/>
        </w:rPr>
        <w:t>安全性描述</w:t>
      </w:r>
      <w:r>
        <w:rPr>
          <w:rFonts w:hint="eastAsia" w:ascii="仿宋_GB2312" w:hAnsi="仿宋_GB2312" w:eastAsia="仿宋_GB2312" w:cs="仿宋_GB2312"/>
          <w:b/>
          <w:bCs w:val="0"/>
          <w:i w:val="0"/>
          <w:caps w:val="0"/>
          <w:color w:val="auto"/>
          <w:spacing w:val="0"/>
          <w:sz w:val="32"/>
          <w:szCs w:val="32"/>
          <w:shd w:val="clear" w:color="auto" w:fill="FFFFFF"/>
          <w:lang w:val="en-US" w:eastAsia="zh-CN"/>
        </w:rPr>
        <w:t xml:space="preserve"> </w:t>
      </w:r>
      <w:r>
        <w:rPr>
          <w:rFonts w:hint="eastAsia" w:ascii="仿宋_GB2312" w:hAnsi="仿宋_GB2312" w:eastAsia="仿宋_GB2312" w:cs="仿宋_GB2312"/>
          <w:b/>
          <w:bCs w:val="0"/>
          <w:i w:val="0"/>
          <w:caps w:val="0"/>
          <w:color w:val="auto"/>
          <w:spacing w:val="0"/>
          <w:sz w:val="32"/>
          <w:szCs w:val="32"/>
          <w:shd w:val="clear" w:color="auto" w:fill="FFFFFF"/>
        </w:rPr>
        <w:t>S38</w:t>
      </w:r>
      <w:r>
        <w:rPr>
          <w:rFonts w:hint="eastAsia" w:ascii="仿宋_GB2312" w:hAnsi="仿宋_GB2312" w:eastAsia="仿宋_GB2312" w:cs="仿宋_GB2312"/>
          <w:b/>
          <w:bCs w:val="0"/>
          <w:i w:val="0"/>
          <w:caps w:val="0"/>
          <w:color w:val="auto"/>
          <w:spacing w:val="0"/>
          <w:sz w:val="32"/>
          <w:szCs w:val="32"/>
          <w:shd w:val="clear" w:color="auto" w:fill="FFFFFF"/>
          <w:lang w:eastAsia="zh-CN"/>
        </w:rPr>
        <w:t>、</w:t>
      </w:r>
      <w:r>
        <w:rPr>
          <w:rFonts w:hint="eastAsia" w:ascii="仿宋_GB2312" w:hAnsi="仿宋_GB2312" w:eastAsia="仿宋_GB2312" w:cs="仿宋_GB2312"/>
          <w:b/>
          <w:bCs w:val="0"/>
          <w:i w:val="0"/>
          <w:caps w:val="0"/>
          <w:color w:val="auto"/>
          <w:spacing w:val="0"/>
          <w:sz w:val="32"/>
          <w:szCs w:val="32"/>
          <w:shd w:val="clear" w:color="auto" w:fill="FFFFFF"/>
        </w:rPr>
        <w:t>危险性描述</w:t>
      </w:r>
      <w:r>
        <w:rPr>
          <w:rFonts w:hint="eastAsia" w:ascii="仿宋_GB2312" w:hAnsi="仿宋_GB2312" w:eastAsia="仿宋_GB2312" w:cs="仿宋_GB2312"/>
          <w:b/>
          <w:bCs w:val="0"/>
          <w:i w:val="0"/>
          <w:caps w:val="0"/>
          <w:color w:val="auto"/>
          <w:spacing w:val="0"/>
          <w:sz w:val="32"/>
          <w:szCs w:val="32"/>
          <w:shd w:val="clear" w:color="auto" w:fill="FFFFFF"/>
          <w:lang w:val="en-US" w:eastAsia="zh-CN"/>
        </w:rPr>
        <w:t xml:space="preserve"> </w:t>
      </w:r>
      <w:r>
        <w:rPr>
          <w:rFonts w:hint="eastAsia" w:ascii="仿宋_GB2312" w:hAnsi="仿宋_GB2312" w:eastAsia="仿宋_GB2312" w:cs="仿宋_GB2312"/>
          <w:b/>
          <w:bCs w:val="0"/>
          <w:i w:val="0"/>
          <w:caps w:val="0"/>
          <w:color w:val="auto"/>
          <w:spacing w:val="0"/>
          <w:sz w:val="32"/>
          <w:szCs w:val="32"/>
          <w:shd w:val="clear" w:color="auto" w:fill="FFFFFF"/>
        </w:rPr>
        <w:t>R20/21UN</w:t>
      </w:r>
      <w:r>
        <w:rPr>
          <w:rFonts w:hint="eastAsia" w:ascii="仿宋_GB2312" w:hAnsi="仿宋_GB2312" w:eastAsia="仿宋_GB2312" w:cs="仿宋_GB2312"/>
          <w:b/>
          <w:bCs w:val="0"/>
          <w:i w:val="0"/>
          <w:caps w:val="0"/>
          <w:color w:val="auto"/>
          <w:spacing w:val="0"/>
          <w:sz w:val="32"/>
          <w:szCs w:val="32"/>
          <w:shd w:val="clear" w:color="auto" w:fill="FFFFFF"/>
          <w:lang w:eastAsia="zh-CN"/>
        </w:rPr>
        <w:t>、</w:t>
      </w:r>
      <w:r>
        <w:rPr>
          <w:rFonts w:hint="eastAsia" w:ascii="仿宋_GB2312" w:hAnsi="仿宋_GB2312" w:eastAsia="仿宋_GB2312" w:cs="仿宋_GB2312"/>
          <w:b/>
          <w:bCs w:val="0"/>
          <w:i w:val="0"/>
          <w:caps w:val="0"/>
          <w:color w:val="auto"/>
          <w:spacing w:val="0"/>
          <w:sz w:val="32"/>
          <w:szCs w:val="32"/>
          <w:shd w:val="clear" w:color="auto" w:fill="FFFFFF"/>
        </w:rPr>
        <w:t>危险货物编号</w:t>
      </w:r>
      <w:r>
        <w:rPr>
          <w:rFonts w:hint="eastAsia" w:ascii="仿宋_GB2312" w:hAnsi="仿宋_GB2312" w:eastAsia="仿宋_GB2312" w:cs="仿宋_GB2312"/>
          <w:b/>
          <w:bCs w:val="0"/>
          <w:i w:val="0"/>
          <w:caps w:val="0"/>
          <w:color w:val="auto"/>
          <w:spacing w:val="0"/>
          <w:sz w:val="32"/>
          <w:szCs w:val="32"/>
          <w:shd w:val="clear" w:color="auto" w:fill="FFFFFF"/>
          <w:lang w:val="en-US" w:eastAsia="zh-CN"/>
        </w:rPr>
        <w:t xml:space="preserve"> </w:t>
      </w:r>
      <w:r>
        <w:rPr>
          <w:rFonts w:hint="eastAsia" w:ascii="仿宋_GB2312" w:hAnsi="仿宋_GB2312" w:eastAsia="仿宋_GB2312" w:cs="仿宋_GB2312"/>
          <w:b/>
          <w:bCs w:val="0"/>
          <w:i w:val="0"/>
          <w:caps w:val="0"/>
          <w:color w:val="auto"/>
          <w:spacing w:val="0"/>
          <w:sz w:val="32"/>
          <w:szCs w:val="32"/>
          <w:shd w:val="clear" w:color="auto" w:fill="FFFFFF"/>
        </w:rPr>
        <w:t>1066</w:t>
      </w:r>
      <w:r>
        <w:rPr>
          <w:rFonts w:hint="eastAsia" w:ascii="仿宋_GB2312" w:hAnsi="仿宋_GB2312" w:eastAsia="仿宋_GB2312" w:cs="仿宋_GB2312"/>
          <w:b/>
          <w:bCs w:val="0"/>
          <w:i w:val="0"/>
          <w:caps w:val="0"/>
          <w:color w:val="auto"/>
          <w:spacing w:val="0"/>
          <w:sz w:val="32"/>
          <w:szCs w:val="32"/>
          <w:shd w:val="clear" w:color="auto" w:fill="FFFFFF"/>
          <w:lang w:eastAsia="zh-CN"/>
        </w:rPr>
        <w:t>。</w:t>
      </w:r>
    </w:p>
    <w:p>
      <w:pPr>
        <w:pStyle w:val="2"/>
        <w:rPr>
          <w:rFonts w:hint="eastAsia" w:ascii="仿宋_GB2312" w:hAnsi="仿宋_GB2312" w:eastAsia="仿宋_GB2312" w:cs="仿宋_GB2312"/>
          <w:b w:val="0"/>
          <w:bCs/>
          <w:sz w:val="32"/>
          <w:szCs w:val="32"/>
          <w:vertAlign w:val="baseline"/>
          <w:lang w:val="en-US" w:eastAsia="zh-CN"/>
        </w:rPr>
      </w:pPr>
    </w:p>
    <w:p>
      <w:pPr>
        <w:numPr>
          <w:ilvl w:val="0"/>
          <w:numId w:val="2"/>
        </w:numPr>
        <w:spacing w:line="520" w:lineRule="exac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其他要求：</w:t>
      </w:r>
    </w:p>
    <w:p>
      <w:pPr>
        <w:numPr>
          <w:ilvl w:val="0"/>
          <w:numId w:val="0"/>
        </w:numPr>
        <w:spacing w:line="52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营业执照要有危险化学品经营，二类压缩气体和液化气体的销售。</w:t>
      </w:r>
    </w:p>
    <w:p>
      <w:pPr>
        <w:spacing w:line="52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危险化学品经营许可证并在有效期内。</w:t>
      </w:r>
    </w:p>
    <w:p>
      <w:pPr>
        <w:spacing w:line="52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气瓶充装许可证并在有效期内。</w:t>
      </w:r>
    </w:p>
    <w:p>
      <w:pPr>
        <w:spacing w:line="52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配备危险品运输车辆（证照齐全）。</w:t>
      </w:r>
    </w:p>
    <w:p>
      <w:pPr>
        <w:spacing w:line="52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接到配送电话24小时送到，质保半年。</w:t>
      </w:r>
    </w:p>
    <w:p>
      <w:pPr>
        <w:spacing w:line="520" w:lineRule="exac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有突发事件发生时，投标人在接到招标人通知后须在</w:t>
      </w:r>
      <w:r>
        <w:rPr>
          <w:rFonts w:hint="eastAsia" w:ascii="仿宋_GB2312" w:hAnsi="仿宋_GB2312" w:eastAsia="仿宋_GB2312" w:cs="仿宋_GB2312"/>
          <w:sz w:val="32"/>
          <w:szCs w:val="32"/>
          <w:lang w:val="en-US" w:eastAsia="zh-CN"/>
        </w:rPr>
        <w:t>24</w:t>
      </w:r>
      <w:r>
        <w:rPr>
          <w:rFonts w:hint="eastAsia" w:ascii="仿宋_GB2312" w:hAnsi="仿宋_GB2312" w:eastAsia="仿宋_GB2312" w:cs="仿宋_GB2312"/>
          <w:sz w:val="32"/>
          <w:szCs w:val="32"/>
        </w:rPr>
        <w:t>小时内将</w:t>
      </w:r>
      <w:r>
        <w:rPr>
          <w:rFonts w:hint="eastAsia" w:ascii="仿宋_GB2312" w:hAnsi="仿宋_GB2312" w:eastAsia="仿宋_GB2312" w:cs="仿宋_GB2312"/>
          <w:sz w:val="32"/>
          <w:szCs w:val="32"/>
          <w:lang w:val="en-US" w:eastAsia="zh-CN"/>
        </w:rPr>
        <w:t>产品</w:t>
      </w:r>
      <w:r>
        <w:rPr>
          <w:rFonts w:hint="eastAsia" w:ascii="仿宋_GB2312" w:hAnsi="仿宋_GB2312" w:eastAsia="仿宋_GB2312" w:cs="仿宋_GB2312"/>
          <w:sz w:val="32"/>
          <w:szCs w:val="32"/>
        </w:rPr>
        <w:t>运送到位，否则招标人有权解除合同。</w:t>
      </w:r>
    </w:p>
    <w:p>
      <w:pPr>
        <w:spacing w:line="360" w:lineRule="auto"/>
        <w:ind w:firstLine="640" w:firstLineChars="200"/>
        <w:rPr>
          <w:rFonts w:hint="eastAsia" w:ascii="仿宋_GB2312" w:hAnsi="仿宋_GB2312" w:eastAsia="仿宋_GB2312" w:cs="仿宋_GB2312"/>
          <w:sz w:val="32"/>
          <w:szCs w:val="32"/>
        </w:rPr>
      </w:pPr>
    </w:p>
    <w:p>
      <w:pPr>
        <w:tabs>
          <w:tab w:val="left" w:pos="1050"/>
        </w:tabs>
        <w:spacing w:line="360" w:lineRule="auto"/>
        <w:ind w:firstLine="3213" w:firstLineChars="1000"/>
        <w:jc w:val="both"/>
        <w:outlineLvl w:val="2"/>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（三）商务要求</w:t>
      </w:r>
    </w:p>
    <w:p>
      <w:pPr>
        <w:spacing w:line="36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中标人提供的所有货物须为全新的、未使用过的原装正品。提交货物的技术参数和配置应与招标文件中的要求及其投标文件中的技术响应表（如果被评委会接受的话）相一致。若招标文件及投标响应文件中无相应说明，则以国家有关部门最新颁布的相应标准及规范为准。</w:t>
      </w:r>
    </w:p>
    <w:p>
      <w:pPr>
        <w:spacing w:line="440" w:lineRule="exact"/>
        <w:ind w:firstLine="598" w:firstLineChars="187"/>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招标人和相关部门按照招标文件和投标文件承诺进行验收。招标文件没有规定和投标文件没有相应承诺的，按照下列原则进行验收：有国家标准的按照国家标准验收，没有国家标准的按行业标准验收，无行业标准的按地方或企业标准验收，中标人予以配合。涉及安全、消防、环保等需要由质检或行业主管部门验收的项目，招标人须约请相关部门和专家参加项目验收。所有需要质检部门进行检测才能使用的货物，报价中必须包含首次检测费用。</w:t>
      </w:r>
    </w:p>
    <w:p>
      <w:pPr>
        <w:spacing w:line="36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3、所有货物必须符合国家相关强制性要求。</w:t>
      </w:r>
    </w:p>
    <w:p>
      <w:pPr>
        <w:spacing w:line="46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sz w:val="32"/>
          <w:szCs w:val="32"/>
        </w:rPr>
        <w:t>4、技术支持：</w:t>
      </w:r>
    </w:p>
    <w:p>
      <w:pPr>
        <w:spacing w:line="44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4.1中标人应向采购人提供全方位及时而有效的技术支持和服务。</w:t>
      </w:r>
    </w:p>
    <w:p>
      <w:pPr>
        <w:spacing w:line="440" w:lineRule="exact"/>
        <w:ind w:firstLine="640" w:firstLineChars="200"/>
        <w:rPr>
          <w:rFonts w:hint="eastAsia" w:ascii="仿宋_GB2312" w:hAnsi="仿宋_GB2312" w:eastAsia="仿宋_GB2312" w:cs="仿宋_GB2312"/>
          <w:color w:val="FF0000"/>
          <w:sz w:val="32"/>
          <w:szCs w:val="32"/>
        </w:rPr>
      </w:pPr>
      <w:r>
        <w:rPr>
          <w:rFonts w:hint="eastAsia" w:ascii="仿宋_GB2312" w:hAnsi="仿宋_GB2312" w:eastAsia="仿宋_GB2312" w:cs="仿宋_GB2312"/>
          <w:sz w:val="32"/>
          <w:szCs w:val="32"/>
        </w:rPr>
        <w:t>4.2中标人负责供货、安装摆放完毕。</w:t>
      </w:r>
    </w:p>
    <w:p>
      <w:pPr>
        <w:spacing w:line="4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5、质保及售后服务：</w:t>
      </w:r>
    </w:p>
    <w:p>
      <w:pPr>
        <w:spacing w:line="460" w:lineRule="exact"/>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color w:val="7030A0"/>
          <w:sz w:val="32"/>
          <w:szCs w:val="32"/>
        </w:rPr>
        <w:t>5.1中标人需对所有货物提供至少</w:t>
      </w:r>
      <w:r>
        <w:rPr>
          <w:rFonts w:hint="eastAsia" w:ascii="仿宋_GB2312" w:hAnsi="仿宋_GB2312" w:eastAsia="仿宋_GB2312" w:cs="仿宋_GB2312"/>
          <w:b/>
          <w:color w:val="7030A0"/>
          <w:sz w:val="32"/>
          <w:szCs w:val="32"/>
          <w:lang w:eastAsia="zh-CN"/>
        </w:rPr>
        <w:t>半</w:t>
      </w:r>
      <w:r>
        <w:rPr>
          <w:rFonts w:hint="eastAsia" w:ascii="仿宋_GB2312" w:hAnsi="仿宋_GB2312" w:eastAsia="仿宋_GB2312" w:cs="仿宋_GB2312"/>
          <w:b/>
          <w:color w:val="7030A0"/>
          <w:sz w:val="32"/>
          <w:szCs w:val="32"/>
        </w:rPr>
        <w:t>年的免费质保服务，自验收合格之日起计算。</w:t>
      </w:r>
      <w:r>
        <w:rPr>
          <w:rFonts w:hint="eastAsia" w:ascii="仿宋_GB2312" w:hAnsi="仿宋_GB2312" w:eastAsia="仿宋_GB2312" w:cs="仿宋_GB2312"/>
          <w:sz w:val="32"/>
          <w:szCs w:val="32"/>
        </w:rPr>
        <w:t>所有质保费用均已包含在总报价中。</w:t>
      </w:r>
    </w:p>
    <w:p>
      <w:pPr>
        <w:spacing w:line="36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5.2售后服务响应时间：中标人需设有专门的售后服务队伍，建立完备的故障响应机制。如货物出现质量问题，电话响应无法解决，中标人必须在接到电话</w:t>
      </w:r>
      <w:r>
        <w:rPr>
          <w:rFonts w:hint="eastAsia" w:ascii="仿宋_GB2312" w:hAnsi="仿宋_GB2312" w:eastAsia="仿宋_GB2312" w:cs="仿宋_GB2312"/>
          <w:b/>
          <w:color w:val="7030A0"/>
          <w:sz w:val="32"/>
          <w:szCs w:val="32"/>
          <w:lang w:val="en-US" w:eastAsia="zh-CN"/>
        </w:rPr>
        <w:t>2</w:t>
      </w:r>
      <w:r>
        <w:rPr>
          <w:rFonts w:hint="eastAsia" w:ascii="仿宋_GB2312" w:hAnsi="仿宋_GB2312" w:eastAsia="仿宋_GB2312" w:cs="仿宋_GB2312"/>
          <w:b/>
          <w:color w:val="7030A0"/>
          <w:sz w:val="32"/>
          <w:szCs w:val="32"/>
        </w:rPr>
        <w:t>小时内到达现场,</w:t>
      </w:r>
      <w:r>
        <w:rPr>
          <w:rFonts w:hint="eastAsia" w:ascii="仿宋_GB2312" w:hAnsi="仿宋_GB2312" w:eastAsia="仿宋_GB2312" w:cs="仿宋_GB2312"/>
          <w:b/>
          <w:color w:val="7030A0"/>
          <w:sz w:val="32"/>
          <w:szCs w:val="32"/>
          <w:lang w:val="en-US" w:eastAsia="zh-CN"/>
        </w:rPr>
        <w:t>24</w:t>
      </w:r>
      <w:r>
        <w:rPr>
          <w:rFonts w:hint="eastAsia" w:ascii="仿宋_GB2312" w:hAnsi="仿宋_GB2312" w:eastAsia="仿宋_GB2312" w:cs="仿宋_GB2312"/>
          <w:b/>
          <w:color w:val="7030A0"/>
          <w:sz w:val="32"/>
          <w:szCs w:val="32"/>
        </w:rPr>
        <w:t>小时内解决问题</w:t>
      </w:r>
      <w:r>
        <w:rPr>
          <w:rFonts w:hint="eastAsia" w:ascii="仿宋_GB2312" w:hAnsi="仿宋_GB2312" w:eastAsia="仿宋_GB2312" w:cs="仿宋_GB2312"/>
          <w:sz w:val="32"/>
          <w:szCs w:val="32"/>
        </w:rPr>
        <w:t xml:space="preserve">。   </w:t>
      </w:r>
    </w:p>
    <w:p>
      <w:pPr>
        <w:spacing w:line="360" w:lineRule="auto"/>
        <w:ind w:firstLine="480" w:firstLineChars="15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5.3  服务期内由招标人对其服务质量进行考核,不合格可由招标人解除合同重新招标。</w:t>
      </w:r>
    </w:p>
    <w:p>
      <w:pPr>
        <w:spacing w:line="360" w:lineRule="auto"/>
        <w:ind w:left="315" w:leftChars="150"/>
        <w:outlineLvl w:val="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6、付款方式：</w:t>
      </w:r>
      <w:r>
        <w:rPr>
          <w:rFonts w:hint="eastAsia" w:ascii="仿宋_GB2312" w:hAnsi="仿宋_GB2312" w:eastAsia="仿宋_GB2312" w:cs="仿宋_GB2312"/>
          <w:sz w:val="32"/>
          <w:szCs w:val="32"/>
          <w:lang w:eastAsia="zh-CN"/>
        </w:rPr>
        <w:t>按运送批次</w:t>
      </w:r>
      <w:r>
        <w:rPr>
          <w:rFonts w:hint="eastAsia" w:ascii="仿宋_GB2312" w:hAnsi="仿宋_GB2312" w:eastAsia="仿宋_GB2312" w:cs="仿宋_GB2312"/>
          <w:sz w:val="32"/>
          <w:szCs w:val="32"/>
        </w:rPr>
        <w:t>付款。</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E268B99"/>
    <w:multiLevelType w:val="singleLevel"/>
    <w:tmpl w:val="EE268B99"/>
    <w:lvl w:ilvl="0" w:tentative="0">
      <w:start w:val="2"/>
      <w:numFmt w:val="decimal"/>
      <w:suff w:val="nothing"/>
      <w:lvlText w:val="%1、"/>
      <w:lvlJc w:val="left"/>
    </w:lvl>
  </w:abstractNum>
  <w:abstractNum w:abstractNumId="1">
    <w:nsid w:val="42B13535"/>
    <w:multiLevelType w:val="singleLevel"/>
    <w:tmpl w:val="42B13535"/>
    <w:lvl w:ilvl="0" w:tentative="0">
      <w:start w:val="2"/>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EAF0557"/>
    <w:rsid w:val="00055C19"/>
    <w:rsid w:val="001F1642"/>
    <w:rsid w:val="00424761"/>
    <w:rsid w:val="00484052"/>
    <w:rsid w:val="0058089F"/>
    <w:rsid w:val="00582ABA"/>
    <w:rsid w:val="006A3E5A"/>
    <w:rsid w:val="006F39C8"/>
    <w:rsid w:val="007C7C7B"/>
    <w:rsid w:val="008C3450"/>
    <w:rsid w:val="008F5D19"/>
    <w:rsid w:val="00B7682E"/>
    <w:rsid w:val="00E4158F"/>
    <w:rsid w:val="00E81592"/>
    <w:rsid w:val="00FB12F6"/>
    <w:rsid w:val="1EAF0557"/>
    <w:rsid w:val="34226E07"/>
    <w:rsid w:val="3686302E"/>
    <w:rsid w:val="379E413B"/>
    <w:rsid w:val="3AA75A14"/>
    <w:rsid w:val="3BFC4E69"/>
    <w:rsid w:val="3C082746"/>
    <w:rsid w:val="422972C1"/>
    <w:rsid w:val="43B57857"/>
    <w:rsid w:val="5C577B0F"/>
    <w:rsid w:val="5CFF7E75"/>
    <w:rsid w:val="60E907EC"/>
    <w:rsid w:val="61BE675D"/>
    <w:rsid w:val="65366B09"/>
    <w:rsid w:val="7C787D10"/>
    <w:rsid w:val="7D961188"/>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pPr>
      <w:jc w:val="left"/>
    </w:pPr>
    <w:rPr>
      <w:rFonts w:ascii="Arial" w:hAnsi="Arial" w:eastAsia="黑体"/>
      <w:b/>
      <w:kern w:val="0"/>
      <w:sz w:val="32"/>
      <w:szCs w:val="20"/>
    </w:rPr>
  </w:style>
  <w:style w:type="paragraph" w:styleId="3">
    <w:name w:val="footer"/>
    <w:basedOn w:val="1"/>
    <w:link w:val="10"/>
    <w:qFormat/>
    <w:uiPriority w:val="0"/>
    <w:pPr>
      <w:tabs>
        <w:tab w:val="center" w:pos="4153"/>
        <w:tab w:val="right" w:pos="8306"/>
      </w:tabs>
      <w:snapToGrid w:val="0"/>
      <w:jc w:val="left"/>
    </w:pPr>
    <w:rPr>
      <w:sz w:val="18"/>
      <w:szCs w:val="18"/>
    </w:rPr>
  </w:style>
  <w:style w:type="paragraph" w:styleId="4">
    <w:name w:val="header"/>
    <w:basedOn w:val="1"/>
    <w:link w:val="9"/>
    <w:qFormat/>
    <w:uiPriority w:val="0"/>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8">
    <w:name w:val="font11"/>
    <w:basedOn w:val="7"/>
    <w:qFormat/>
    <w:uiPriority w:val="0"/>
    <w:rPr>
      <w:rFonts w:hint="eastAsia" w:ascii="宋体" w:hAnsi="宋体" w:eastAsia="宋体" w:cs="宋体"/>
      <w:color w:val="000000"/>
      <w:sz w:val="22"/>
      <w:szCs w:val="22"/>
      <w:u w:val="none"/>
    </w:rPr>
  </w:style>
  <w:style w:type="character" w:customStyle="1" w:styleId="9">
    <w:name w:val="页眉 Char"/>
    <w:basedOn w:val="7"/>
    <w:link w:val="4"/>
    <w:qFormat/>
    <w:uiPriority w:val="0"/>
    <w:rPr>
      <w:kern w:val="2"/>
      <w:sz w:val="18"/>
      <w:szCs w:val="18"/>
    </w:rPr>
  </w:style>
  <w:style w:type="character" w:customStyle="1" w:styleId="10">
    <w:name w:val="页脚 Char"/>
    <w:basedOn w:val="7"/>
    <w:link w:val="3"/>
    <w:qFormat/>
    <w:uiPriority w:val="0"/>
    <w:rPr>
      <w:kern w:val="2"/>
      <w:sz w:val="18"/>
      <w:szCs w:val="18"/>
    </w:rPr>
  </w:style>
  <w:style w:type="paragraph" w:styleId="11">
    <w:name w:val="List Paragraph"/>
    <w:basedOn w:val="1"/>
    <w:unhideWhenUsed/>
    <w:qFormat/>
    <w:uiPriority w:val="99"/>
    <w:pPr>
      <w:ind w:firstLine="420" w:firstLineChars="200"/>
    </w:pPr>
  </w:style>
  <w:style w:type="character" w:customStyle="1" w:styleId="12">
    <w:name w:val="font01"/>
    <w:basedOn w:val="7"/>
    <w:qFormat/>
    <w:uiPriority w:val="0"/>
    <w:rPr>
      <w:rFonts w:hint="eastAsia" w:ascii="宋体" w:hAnsi="宋体" w:eastAsia="宋体" w:cs="宋体"/>
      <w:color w:val="000000"/>
      <w:sz w:val="22"/>
      <w:szCs w:val="22"/>
      <w:u w:val="none"/>
    </w:rPr>
  </w:style>
  <w:style w:type="character" w:customStyle="1" w:styleId="13">
    <w:name w:val="font61"/>
    <w:basedOn w:val="7"/>
    <w:qFormat/>
    <w:uiPriority w:val="0"/>
    <w:rPr>
      <w:rFonts w:hint="eastAsia" w:ascii="宋体" w:hAnsi="宋体" w:eastAsia="宋体" w:cs="宋体"/>
      <w:color w:val="000000"/>
      <w:sz w:val="20"/>
      <w:szCs w:val="20"/>
      <w:u w:val="none"/>
    </w:rPr>
  </w:style>
  <w:style w:type="character" w:customStyle="1" w:styleId="14">
    <w:name w:val="font91"/>
    <w:basedOn w:val="7"/>
    <w:qFormat/>
    <w:uiPriority w:val="0"/>
    <w:rPr>
      <w:rFonts w:hint="default" w:ascii="Times New Roman" w:hAnsi="Times New Roman" w:cs="Times New Roman"/>
      <w:color w:val="000000"/>
      <w:sz w:val="20"/>
      <w:szCs w:val="20"/>
      <w:u w:val="none"/>
    </w:rPr>
  </w:style>
  <w:style w:type="character" w:customStyle="1" w:styleId="15">
    <w:name w:val="font81"/>
    <w:basedOn w:val="7"/>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2</Pages>
  <Words>415</Words>
  <Characters>242</Characters>
  <Lines>2</Lines>
  <Paragraphs>1</Paragraphs>
  <TotalTime>5</TotalTime>
  <ScaleCrop>false</ScaleCrop>
  <LinksUpToDate>false</LinksUpToDate>
  <CharactersWithSpaces>656</CharactersWithSpaces>
  <Application>WPS Office_11.1.0.11045_F1E327BC-269C-435d-A152-05C5408002CA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2020-04-17T00:28:00Z</dcterms:created>
  <dc:creator>张太生</dc:creator>
  <cp:lastModifiedBy>Administrator</cp:lastModifiedBy>
  <cp:lastPrinted>2020-12-09T00:42:00Z</cp:lastPrinted>
  <dcterms:modified xsi:type="dcterms:W3CDTF">2021-10-29T01:16:50Z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CF4E02166D8344108CBDDAA08BFB7311</vt:lpwstr>
  </property>
</Properties>
</file>