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1653" w:hanging="3030" w:hangingChars="686"/>
        <w:jc w:val="center"/>
        <w:rPr>
          <w:rFonts w:hint="eastAsia"/>
          <w:sz w:val="32"/>
          <w:szCs w:val="32"/>
          <w:lang w:val="en-US" w:eastAsia="zh-CN"/>
        </w:rPr>
      </w:pPr>
      <w:r>
        <w:rPr>
          <w:rFonts w:hint="eastAsia"/>
          <w:b/>
          <w:bCs/>
          <w:sz w:val="44"/>
          <w:szCs w:val="44"/>
          <w:lang w:val="en-US" w:eastAsia="zh-CN"/>
        </w:rPr>
        <w:t>开水炉过滤芯项目参数及服务要求</w:t>
      </w:r>
    </w:p>
    <w:p>
      <w:pPr>
        <w:ind w:left="1653" w:hanging="2195" w:hangingChars="686"/>
        <w:rPr>
          <w:rFonts w:hint="eastAsia"/>
          <w:sz w:val="32"/>
          <w:szCs w:val="32"/>
          <w:lang w:val="en-US" w:eastAsia="zh-CN"/>
        </w:rPr>
      </w:pPr>
      <w:r>
        <w:rPr>
          <w:rFonts w:hint="eastAsia"/>
          <w:sz w:val="32"/>
          <w:szCs w:val="32"/>
          <w:lang w:val="en-US" w:eastAsia="zh-CN"/>
        </w:rPr>
        <w:t xml:space="preserve"> </w:t>
      </w:r>
    </w:p>
    <w:p>
      <w:pPr>
        <w:numPr>
          <w:ilvl w:val="0"/>
          <w:numId w:val="0"/>
        </w:numPr>
        <w:ind w:firstLine="643" w:firstLineChars="200"/>
        <w:rPr>
          <w:rFonts w:hint="default"/>
          <w:sz w:val="32"/>
          <w:szCs w:val="32"/>
          <w:lang w:val="en-US" w:eastAsia="zh-CN"/>
        </w:rPr>
      </w:pPr>
      <w:r>
        <w:rPr>
          <w:b/>
          <w:bCs/>
          <w:sz w:val="32"/>
          <w:szCs w:val="32"/>
          <w:lang w:val="en-US"/>
        </w:rPr>
        <w:t>设备情况</w:t>
      </w:r>
      <w:r>
        <w:rPr>
          <w:rFonts w:hint="eastAsia"/>
          <w:sz w:val="32"/>
          <w:szCs w:val="32"/>
          <w:lang w:val="en-US" w:eastAsia="zh-CN"/>
        </w:rPr>
        <w:t>：东院（秀山</w:t>
      </w:r>
      <w:r>
        <w:rPr>
          <w:sz w:val="32"/>
          <w:szCs w:val="32"/>
          <w:lang w:val="en-US"/>
        </w:rPr>
        <w:t>医院</w:t>
      </w:r>
      <w:r>
        <w:rPr>
          <w:rFonts w:hint="eastAsia"/>
          <w:sz w:val="32"/>
          <w:szCs w:val="32"/>
          <w:lang w:val="en-US" w:eastAsia="zh-CN"/>
        </w:rPr>
        <w:t>）</w:t>
      </w:r>
      <w:r>
        <w:rPr>
          <w:sz w:val="32"/>
          <w:szCs w:val="32"/>
          <w:lang w:val="en-US"/>
        </w:rPr>
        <w:t>内共30 套</w:t>
      </w:r>
      <w:r>
        <w:rPr>
          <w:rFonts w:hint="eastAsia"/>
          <w:sz w:val="32"/>
          <w:szCs w:val="32"/>
          <w:lang w:val="en-US" w:eastAsia="zh-CN"/>
        </w:rPr>
        <w:t>电开水炉</w:t>
      </w:r>
      <w:r>
        <w:rPr>
          <w:sz w:val="32"/>
          <w:szCs w:val="32"/>
          <w:lang w:val="en-US"/>
        </w:rPr>
        <w:t>饮</w:t>
      </w:r>
      <w:r>
        <w:rPr>
          <w:rFonts w:hint="eastAsia"/>
          <w:sz w:val="32"/>
          <w:szCs w:val="32"/>
          <w:lang w:val="en-US" w:eastAsia="zh-CN"/>
        </w:rPr>
        <w:t>水</w:t>
      </w:r>
      <w:r>
        <w:rPr>
          <w:sz w:val="32"/>
          <w:szCs w:val="32"/>
          <w:lang w:val="en-US"/>
        </w:rPr>
        <w:t>设备</w:t>
      </w:r>
      <w:r>
        <w:rPr>
          <w:rFonts w:hint="eastAsia"/>
          <w:sz w:val="32"/>
          <w:szCs w:val="32"/>
          <w:lang w:val="en-US" w:eastAsia="zh-CN"/>
        </w:rPr>
        <w:t>，现</w:t>
      </w:r>
      <w:r>
        <w:rPr>
          <w:sz w:val="32"/>
          <w:szCs w:val="32"/>
          <w:lang w:val="en-US"/>
        </w:rPr>
        <w:t>设备运作正常</w:t>
      </w:r>
      <w:r>
        <w:rPr>
          <w:rFonts w:hint="eastAsia"/>
          <w:sz w:val="32"/>
          <w:szCs w:val="32"/>
          <w:lang w:val="en-US" w:eastAsia="zh-CN"/>
        </w:rPr>
        <w:t>，</w:t>
      </w:r>
      <w:r>
        <w:rPr>
          <w:sz w:val="32"/>
          <w:szCs w:val="32"/>
          <w:lang w:val="en-US"/>
        </w:rPr>
        <w:t xml:space="preserve">水质量 </w:t>
      </w:r>
      <w:r>
        <w:rPr>
          <w:rFonts w:hint="eastAsia"/>
          <w:sz w:val="32"/>
          <w:szCs w:val="32"/>
          <w:lang w:val="en-US" w:eastAsia="zh-CN"/>
        </w:rPr>
        <w:t>T</w:t>
      </w:r>
      <w:r>
        <w:rPr>
          <w:sz w:val="32"/>
          <w:szCs w:val="32"/>
          <w:lang w:val="en-US"/>
        </w:rPr>
        <w:t>DS 电导率高，过滤芯超过3 个月以上没有更换</w:t>
      </w:r>
      <w:r>
        <w:rPr>
          <w:rFonts w:hint="eastAsia"/>
          <w:sz w:val="32"/>
          <w:szCs w:val="32"/>
          <w:lang w:val="en-US" w:eastAsia="zh-CN"/>
        </w:rPr>
        <w:t>，故需采购60套过滤芯（半年更换一次滤芯），不包含安装维护（我院自行安装）。如产品质量存在问题，中标厂商必须立即更换。</w:t>
      </w:r>
    </w:p>
    <w:p>
      <w:pPr>
        <w:numPr>
          <w:ilvl w:val="0"/>
          <w:numId w:val="0"/>
        </w:numPr>
        <w:jc w:val="center"/>
        <w:rPr>
          <w:rFonts w:hint="eastAsia" w:ascii="华文仿宋" w:hAnsi="华文仿宋" w:eastAsia="华文仿宋" w:cs="华文仿宋"/>
          <w:b/>
          <w:bCs/>
          <w:sz w:val="32"/>
          <w:szCs w:val="32"/>
        </w:rPr>
      </w:pPr>
    </w:p>
    <w:p>
      <w:pPr>
        <w:numPr>
          <w:ilvl w:val="0"/>
          <w:numId w:val="0"/>
        </w:numPr>
        <w:jc w:val="center"/>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（一）评标办法及金额年限</w:t>
      </w:r>
    </w:p>
    <w:p>
      <w:pPr>
        <w:pStyle w:val="7"/>
        <w:tabs>
          <w:tab w:val="left" w:pos="6387"/>
        </w:tabs>
        <w:ind w:firstLine="0" w:firstLineChars="0"/>
        <w:rPr>
          <w:rFonts w:hint="eastAsia" w:ascii="华文仿宋" w:hAnsi="华文仿宋" w:eastAsia="华文仿宋" w:cs="华文仿宋"/>
          <w:sz w:val="32"/>
          <w:szCs w:val="32"/>
          <w:lang w:eastAsia="zh-CN"/>
        </w:rPr>
      </w:pPr>
      <w:r>
        <w:rPr>
          <w:rFonts w:hint="eastAsia" w:ascii="华文仿宋" w:hAnsi="华文仿宋" w:eastAsia="华文仿宋" w:cs="华文仿宋"/>
          <w:b/>
          <w:bCs/>
          <w:sz w:val="32"/>
          <w:szCs w:val="32"/>
        </w:rPr>
        <w:t>1、评标办法</w:t>
      </w:r>
      <w:r>
        <w:rPr>
          <w:rFonts w:hint="eastAsia" w:ascii="华文仿宋" w:hAnsi="华文仿宋" w:eastAsia="华文仿宋" w:cs="华文仿宋"/>
          <w:sz w:val="32"/>
          <w:szCs w:val="32"/>
        </w:rPr>
        <w:t>：综合评分。</w:t>
      </w:r>
      <w:r>
        <w:rPr>
          <w:rFonts w:hint="eastAsia" w:ascii="华文仿宋" w:hAnsi="华文仿宋" w:eastAsia="华文仿宋" w:cs="华文仿宋"/>
          <w:sz w:val="32"/>
          <w:szCs w:val="32"/>
          <w:lang w:eastAsia="zh-CN"/>
        </w:rPr>
        <w:tab/>
      </w:r>
    </w:p>
    <w:p>
      <w:pPr>
        <w:spacing w:line="480" w:lineRule="exact"/>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2、项目控制金额</w:t>
      </w:r>
      <w:r>
        <w:rPr>
          <w:rFonts w:hint="eastAsia" w:ascii="华文仿宋" w:hAnsi="华文仿宋" w:eastAsia="华文仿宋" w:cs="华文仿宋"/>
          <w:b/>
          <w:bCs/>
          <w:sz w:val="32"/>
          <w:szCs w:val="32"/>
          <w:lang w:eastAsia="zh-CN"/>
        </w:rPr>
        <w:t>：</w:t>
      </w:r>
      <w:r>
        <w:rPr>
          <w:rFonts w:hint="eastAsia" w:ascii="华文仿宋" w:hAnsi="华文仿宋" w:eastAsia="华文仿宋" w:cs="华文仿宋"/>
          <w:sz w:val="32"/>
          <w:szCs w:val="32"/>
          <w:lang w:val="en-US" w:eastAsia="zh-CN"/>
        </w:rPr>
        <w:t>18000</w:t>
      </w:r>
      <w:r>
        <w:rPr>
          <w:rFonts w:hint="eastAsia" w:ascii="华文仿宋" w:hAnsi="华文仿宋" w:eastAsia="华文仿宋" w:cs="华文仿宋"/>
          <w:sz w:val="32"/>
          <w:szCs w:val="32"/>
        </w:rPr>
        <w:t xml:space="preserve">元  </w:t>
      </w:r>
    </w:p>
    <w:p>
      <w:pPr>
        <w:spacing w:line="480" w:lineRule="exact"/>
        <w:rPr>
          <w:rFonts w:hint="eastAsia" w:ascii="华文仿宋" w:hAnsi="华文仿宋" w:eastAsia="华文仿宋" w:cs="华文仿宋"/>
          <w:sz w:val="32"/>
          <w:szCs w:val="32"/>
        </w:rPr>
      </w:pPr>
      <w:r>
        <w:rPr>
          <w:rFonts w:hint="eastAsia" w:ascii="华文仿宋" w:hAnsi="华文仿宋" w:eastAsia="华文仿宋" w:cs="华文仿宋"/>
          <w:b/>
          <w:bCs/>
          <w:sz w:val="32"/>
          <w:szCs w:val="32"/>
        </w:rPr>
        <w:t>3、项目控制年限</w:t>
      </w:r>
      <w:r>
        <w:rPr>
          <w:rFonts w:hint="eastAsia" w:ascii="华文仿宋" w:hAnsi="华文仿宋" w:eastAsia="华文仿宋" w:cs="华文仿宋"/>
          <w:sz w:val="32"/>
          <w:szCs w:val="32"/>
        </w:rPr>
        <w:t xml:space="preserve">：一年。 </w:t>
      </w: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rPr>
          <w:rFonts w:hint="eastAsia" w:ascii="华文仿宋" w:hAnsi="华文仿宋" w:eastAsia="华文仿宋" w:cs="华文仿宋"/>
          <w:b/>
          <w:bCs/>
          <w:spacing w:val="-14"/>
          <w:sz w:val="32"/>
          <w:szCs w:val="32"/>
        </w:rPr>
      </w:pPr>
    </w:p>
    <w:p>
      <w:pPr>
        <w:spacing w:line="100" w:lineRule="atLeast"/>
        <w:jc w:val="center"/>
        <w:rPr>
          <w:rFonts w:hint="eastAsia" w:ascii="华文仿宋" w:hAnsi="华文仿宋" w:eastAsia="华文仿宋" w:cs="华文仿宋"/>
          <w:b/>
          <w:bCs/>
          <w:spacing w:val="-14"/>
          <w:sz w:val="32"/>
          <w:szCs w:val="32"/>
        </w:rPr>
      </w:pPr>
      <w:r>
        <w:rPr>
          <w:rFonts w:hint="eastAsia" w:ascii="华文仿宋" w:hAnsi="华文仿宋" w:eastAsia="华文仿宋" w:cs="华文仿宋"/>
          <w:b/>
          <w:bCs/>
          <w:spacing w:val="-14"/>
          <w:sz w:val="32"/>
          <w:szCs w:val="32"/>
        </w:rPr>
        <w:t>（</w:t>
      </w:r>
      <w:r>
        <w:rPr>
          <w:rFonts w:hint="eastAsia" w:ascii="华文仿宋" w:hAnsi="华文仿宋" w:eastAsia="华文仿宋" w:cs="华文仿宋"/>
          <w:b/>
          <w:bCs/>
          <w:spacing w:val="-14"/>
          <w:sz w:val="32"/>
          <w:szCs w:val="32"/>
          <w:lang w:eastAsia="zh-CN"/>
        </w:rPr>
        <w:t>二）</w:t>
      </w:r>
      <w:r>
        <w:rPr>
          <w:rFonts w:hint="eastAsia" w:ascii="华文仿宋" w:hAnsi="华文仿宋" w:eastAsia="华文仿宋" w:cs="华文仿宋"/>
          <w:b/>
          <w:bCs/>
          <w:spacing w:val="-14"/>
          <w:sz w:val="32"/>
          <w:szCs w:val="32"/>
        </w:rPr>
        <w:t>服务要求</w:t>
      </w:r>
    </w:p>
    <w:p>
      <w:pPr>
        <w:pStyle w:val="7"/>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具备</w:t>
      </w:r>
      <w:r>
        <w:rPr>
          <w:rFonts w:hint="eastAsia" w:ascii="华文仿宋" w:hAnsi="华文仿宋" w:eastAsia="华文仿宋" w:cs="华文仿宋"/>
          <w:sz w:val="32"/>
          <w:szCs w:val="32"/>
          <w:lang w:eastAsia="zh-CN"/>
        </w:rPr>
        <w:t>相关开水炉滤芯等配件</w:t>
      </w:r>
      <w:r>
        <w:rPr>
          <w:rFonts w:hint="eastAsia" w:ascii="华文仿宋" w:hAnsi="华文仿宋" w:eastAsia="华文仿宋" w:cs="华文仿宋"/>
          <w:sz w:val="32"/>
          <w:szCs w:val="32"/>
        </w:rPr>
        <w:t>的</w:t>
      </w:r>
      <w:r>
        <w:rPr>
          <w:rFonts w:hint="eastAsia" w:ascii="华文仿宋" w:hAnsi="华文仿宋" w:eastAsia="华文仿宋" w:cs="华文仿宋"/>
          <w:sz w:val="32"/>
          <w:szCs w:val="32"/>
          <w:lang w:eastAsia="zh-CN"/>
        </w:rPr>
        <w:t>销售</w:t>
      </w:r>
      <w:r>
        <w:rPr>
          <w:rFonts w:hint="eastAsia" w:ascii="华文仿宋" w:hAnsi="华文仿宋" w:eastAsia="华文仿宋" w:cs="华文仿宋"/>
          <w:sz w:val="32"/>
          <w:szCs w:val="32"/>
        </w:rPr>
        <w:t>资质，</w:t>
      </w:r>
      <w:r>
        <w:rPr>
          <w:rFonts w:hint="eastAsia" w:ascii="华文仿宋" w:hAnsi="华文仿宋" w:eastAsia="华文仿宋" w:cs="华文仿宋"/>
          <w:sz w:val="32"/>
          <w:szCs w:val="32"/>
          <w:lang w:eastAsia="zh-CN"/>
        </w:rPr>
        <w:t>开标当天须携带样品（一级</w:t>
      </w:r>
      <w:r>
        <w:rPr>
          <w:rFonts w:hint="eastAsia" w:ascii="华文仿宋" w:hAnsi="华文仿宋" w:eastAsia="华文仿宋" w:cs="华文仿宋"/>
          <w:sz w:val="32"/>
          <w:szCs w:val="32"/>
          <w:lang w:val="en-US" w:eastAsia="zh-CN"/>
        </w:rPr>
        <w:t>10寸PP棉</w:t>
      </w:r>
      <w:r>
        <w:rPr>
          <w:rFonts w:hint="eastAsia" w:ascii="华文仿宋" w:hAnsi="华文仿宋" w:eastAsia="华文仿宋" w:cs="华文仿宋"/>
          <w:sz w:val="32"/>
          <w:szCs w:val="32"/>
          <w:lang w:eastAsia="zh-CN"/>
        </w:rPr>
        <w:t>）至开标现场，</w:t>
      </w:r>
      <w:r>
        <w:rPr>
          <w:rFonts w:hint="eastAsia" w:ascii="华文仿宋" w:hAnsi="华文仿宋" w:eastAsia="华文仿宋" w:cs="华文仿宋"/>
          <w:sz w:val="32"/>
          <w:szCs w:val="32"/>
        </w:rPr>
        <w:t>中标后提供样品至总务科。</w:t>
      </w:r>
      <w:r>
        <w:rPr>
          <w:rFonts w:hint="eastAsia" w:ascii="华文仿宋" w:hAnsi="华文仿宋" w:eastAsia="华文仿宋" w:cs="华文仿宋"/>
          <w:color w:val="000000"/>
          <w:kern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2</w:t>
      </w:r>
      <w:r>
        <w:rPr>
          <w:rFonts w:hint="eastAsia" w:ascii="华文仿宋" w:hAnsi="华文仿宋" w:eastAsia="华文仿宋" w:cs="华文仿宋"/>
          <w:sz w:val="32"/>
          <w:szCs w:val="32"/>
        </w:rPr>
        <w:t>、凡供应的产品必须符合国家（行业）标准。售出的商品，属质量问题的，</w:t>
      </w:r>
      <w:bookmarkStart w:id="0" w:name="_GoBack"/>
      <w:bookmarkEnd w:id="0"/>
      <w:r>
        <w:rPr>
          <w:rFonts w:hint="eastAsia" w:ascii="华文仿宋" w:hAnsi="华文仿宋" w:eastAsia="华文仿宋" w:cs="华文仿宋"/>
          <w:sz w:val="32"/>
          <w:szCs w:val="32"/>
        </w:rPr>
        <w:t>按国家商品“三包”规定执行。</w:t>
      </w:r>
    </w:p>
    <w:p>
      <w:pPr>
        <w:keepNext w:val="0"/>
        <w:keepLines w:val="0"/>
        <w:pageBreakBefore w:val="0"/>
        <w:widowControl w:val="0"/>
        <w:kinsoku/>
        <w:wordWrap/>
        <w:overflowPunct/>
        <w:topLinePunct w:val="0"/>
        <w:autoSpaceDE/>
        <w:autoSpaceDN/>
        <w:bidi w:val="0"/>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3</w:t>
      </w:r>
      <w:r>
        <w:rPr>
          <w:rFonts w:hint="eastAsia" w:ascii="华文仿宋" w:hAnsi="华文仿宋" w:eastAsia="华文仿宋" w:cs="华文仿宋"/>
          <w:sz w:val="32"/>
          <w:szCs w:val="32"/>
        </w:rPr>
        <w:t>、为了更好的服务各单位，根据要求，需及时将物品送到各单位指定地点。</w:t>
      </w:r>
    </w:p>
    <w:p>
      <w:pPr>
        <w:keepNext w:val="0"/>
        <w:keepLines w:val="0"/>
        <w:pageBreakBefore w:val="0"/>
        <w:widowControl w:val="0"/>
        <w:kinsoku/>
        <w:wordWrap/>
        <w:overflowPunct/>
        <w:topLinePunct w:val="0"/>
        <w:autoSpaceDE/>
        <w:autoSpaceDN/>
        <w:bidi w:val="0"/>
        <w:adjustRightInd/>
        <w:snapToGrid/>
        <w:spacing w:line="360" w:lineRule="auto"/>
        <w:ind w:firstLine="320" w:firstLine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4</w:t>
      </w:r>
      <w:r>
        <w:rPr>
          <w:rFonts w:hint="eastAsia" w:ascii="华文仿宋" w:hAnsi="华文仿宋" w:eastAsia="华文仿宋" w:cs="华文仿宋"/>
          <w:sz w:val="32"/>
          <w:szCs w:val="32"/>
        </w:rPr>
        <w:t>、如在使用过程中出现产品本身质量问题，承诺无条件退换。如因产品质量原因造成的损害，由中标方承担一切后果。</w:t>
      </w:r>
    </w:p>
    <w:p>
      <w:pPr>
        <w:spacing w:line="360" w:lineRule="auto"/>
        <w:ind w:firstLine="480" w:firstLineChars="150"/>
        <w:rPr>
          <w:rFonts w:hint="eastAsia" w:ascii="华文仿宋" w:hAnsi="华文仿宋" w:eastAsia="华文仿宋" w:cs="华文仿宋"/>
          <w:sz w:val="32"/>
          <w:szCs w:val="32"/>
        </w:rPr>
      </w:pPr>
    </w:p>
    <w:p>
      <w:pPr>
        <w:tabs>
          <w:tab w:val="left" w:pos="1050"/>
        </w:tabs>
        <w:spacing w:line="360" w:lineRule="auto"/>
        <w:jc w:val="center"/>
        <w:outlineLvl w:val="2"/>
        <w:rPr>
          <w:rFonts w:hint="eastAsia" w:ascii="华文仿宋" w:hAnsi="华文仿宋" w:eastAsia="华文仿宋" w:cs="华文仿宋"/>
          <w:b/>
          <w:sz w:val="32"/>
          <w:szCs w:val="32"/>
        </w:rPr>
      </w:pPr>
      <w:r>
        <w:rPr>
          <w:rFonts w:hint="eastAsia" w:ascii="华文仿宋" w:hAnsi="华文仿宋" w:eastAsia="华文仿宋" w:cs="华文仿宋"/>
          <w:b/>
          <w:sz w:val="32"/>
          <w:szCs w:val="32"/>
        </w:rPr>
        <w:t>（三）商务要求</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keepNext w:val="0"/>
        <w:keepLines w:val="0"/>
        <w:pageBreakBefore w:val="0"/>
        <w:widowControl w:val="0"/>
        <w:kinsoku/>
        <w:wordWrap/>
        <w:overflowPunct/>
        <w:topLinePunct w:val="0"/>
        <w:autoSpaceDE/>
        <w:autoSpaceDN/>
        <w:bidi w:val="0"/>
        <w:adjustRightInd/>
        <w:snapToGrid/>
        <w:spacing w:line="360" w:lineRule="auto"/>
        <w:ind w:firstLine="598" w:firstLineChars="187"/>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3、所有货物必须符合国家相关强制性要求。</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华文仿宋" w:hAnsi="华文仿宋" w:eastAsia="华文仿宋" w:cs="华文仿宋"/>
          <w:color w:val="000000"/>
          <w:sz w:val="32"/>
          <w:szCs w:val="32"/>
        </w:rPr>
      </w:pPr>
      <w:r>
        <w:rPr>
          <w:rFonts w:hint="eastAsia" w:ascii="华文仿宋" w:hAnsi="华文仿宋" w:eastAsia="华文仿宋" w:cs="华文仿宋"/>
          <w:sz w:val="32"/>
          <w:szCs w:val="32"/>
        </w:rPr>
        <w:t>4、技术支持：</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4.1中标人应向采购人提供全方位及时而有效的技术支持和服务。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华文仿宋" w:hAnsi="华文仿宋" w:eastAsia="华文仿宋" w:cs="华文仿宋"/>
          <w:color w:val="FF0000"/>
          <w:sz w:val="32"/>
          <w:szCs w:val="32"/>
        </w:rPr>
      </w:pPr>
      <w:r>
        <w:rPr>
          <w:rFonts w:hint="eastAsia" w:ascii="华文仿宋" w:hAnsi="华文仿宋" w:eastAsia="华文仿宋" w:cs="华文仿宋"/>
          <w:sz w:val="32"/>
          <w:szCs w:val="32"/>
        </w:rPr>
        <w:t>4.2中标人负责供货、安装摆放完毕。</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5、质保及售后服务：</w:t>
      </w:r>
    </w:p>
    <w:p>
      <w:pPr>
        <w:keepNext w:val="0"/>
        <w:keepLines w:val="0"/>
        <w:pageBreakBefore w:val="0"/>
        <w:widowControl w:val="0"/>
        <w:kinsoku/>
        <w:wordWrap/>
        <w:overflowPunct/>
        <w:topLinePunct w:val="0"/>
        <w:autoSpaceDE/>
        <w:autoSpaceDN/>
        <w:bidi w:val="0"/>
        <w:adjustRightInd/>
        <w:snapToGrid/>
        <w:spacing w:line="360" w:lineRule="auto"/>
        <w:ind w:firstLine="641"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b/>
          <w:color w:val="7030A0"/>
          <w:sz w:val="32"/>
          <w:szCs w:val="32"/>
        </w:rPr>
        <w:t>5.1中标人需对所有货物提供至少1年的免费质保服务，自验收合格之日起计算。</w:t>
      </w:r>
      <w:r>
        <w:rPr>
          <w:rFonts w:hint="eastAsia" w:ascii="华文仿宋" w:hAnsi="华文仿宋" w:eastAsia="华文仿宋" w:cs="华文仿宋"/>
          <w:sz w:val="32"/>
          <w:szCs w:val="32"/>
        </w:rPr>
        <w:t>所有质保费</w:t>
      </w:r>
      <w:r>
        <w:rPr>
          <w:rFonts w:hint="eastAsia" w:ascii="华文仿宋" w:hAnsi="华文仿宋" w:eastAsia="华文仿宋" w:cs="华文仿宋"/>
          <w:sz w:val="32"/>
          <w:szCs w:val="32"/>
          <w:lang w:eastAsia="zh-CN"/>
        </w:rPr>
        <w:t>及网络费</w:t>
      </w:r>
      <w:r>
        <w:rPr>
          <w:rFonts w:hint="eastAsia" w:ascii="华文仿宋" w:hAnsi="华文仿宋" w:eastAsia="华文仿宋" w:cs="华文仿宋"/>
          <w:sz w:val="32"/>
          <w:szCs w:val="32"/>
        </w:rPr>
        <w:t>用均已包含在总报价中。</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5.2售后服务响应时间：中标人需设有专门的售后服务队伍，建立完备的故障响应机制。如货物出现质量问题，电话响应无法解决，中标人必须在接到电话</w:t>
      </w:r>
      <w:r>
        <w:rPr>
          <w:rFonts w:hint="eastAsia" w:ascii="华文仿宋" w:hAnsi="华文仿宋" w:eastAsia="华文仿宋" w:cs="华文仿宋"/>
          <w:b/>
          <w:color w:val="7030A0"/>
          <w:sz w:val="32"/>
          <w:szCs w:val="32"/>
          <w:lang w:val="en-US" w:eastAsia="zh-CN"/>
        </w:rPr>
        <w:t>24</w:t>
      </w:r>
      <w:r>
        <w:rPr>
          <w:rFonts w:hint="eastAsia" w:ascii="华文仿宋" w:hAnsi="华文仿宋" w:eastAsia="华文仿宋" w:cs="华文仿宋"/>
          <w:b/>
          <w:color w:val="7030A0"/>
          <w:sz w:val="32"/>
          <w:szCs w:val="32"/>
        </w:rPr>
        <w:t>小时内到达现场,</w:t>
      </w:r>
      <w:r>
        <w:rPr>
          <w:rFonts w:hint="eastAsia" w:ascii="华文仿宋" w:hAnsi="华文仿宋" w:eastAsia="华文仿宋" w:cs="华文仿宋"/>
          <w:b/>
          <w:color w:val="7030A0"/>
          <w:sz w:val="32"/>
          <w:szCs w:val="32"/>
          <w:lang w:val="en-US" w:eastAsia="zh-CN"/>
        </w:rPr>
        <w:t>48</w:t>
      </w:r>
      <w:r>
        <w:rPr>
          <w:rFonts w:hint="eastAsia" w:ascii="华文仿宋" w:hAnsi="华文仿宋" w:eastAsia="华文仿宋" w:cs="华文仿宋"/>
          <w:b/>
          <w:color w:val="7030A0"/>
          <w:sz w:val="32"/>
          <w:szCs w:val="32"/>
        </w:rPr>
        <w:t>小时内解决问题</w:t>
      </w:r>
      <w:r>
        <w:rPr>
          <w:rFonts w:hint="eastAsia" w:ascii="华文仿宋" w:hAnsi="华文仿宋" w:eastAsia="华文仿宋" w:cs="华文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15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5.3  服务期内由招标人对其服务质量进行考核,不合格可由招标人解除合同重新招标。</w:t>
      </w:r>
    </w:p>
    <w:p>
      <w:pPr>
        <w:pStyle w:val="7"/>
        <w:keepNext w:val="0"/>
        <w:keepLines w:val="0"/>
        <w:pageBreakBefore w:val="0"/>
        <w:widowControl w:val="0"/>
        <w:kinsoku/>
        <w:wordWrap/>
        <w:overflowPunct/>
        <w:topLinePunct w:val="0"/>
        <w:autoSpaceDE/>
        <w:autoSpaceDN/>
        <w:bidi w:val="0"/>
        <w:adjustRightInd/>
        <w:snapToGrid/>
        <w:spacing w:line="360" w:lineRule="auto"/>
        <w:ind w:left="559" w:leftChars="114" w:hanging="320" w:hangingChars="10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6、付款方式：安装并验收合格后</w:t>
      </w:r>
      <w:r>
        <w:rPr>
          <w:rFonts w:hint="eastAsia" w:ascii="华文仿宋" w:hAnsi="华文仿宋" w:eastAsia="华文仿宋" w:cs="华文仿宋"/>
          <w:sz w:val="32"/>
          <w:szCs w:val="32"/>
          <w:lang w:val="en-US" w:eastAsia="zh-CN"/>
        </w:rPr>
        <w:t>60天内</w:t>
      </w:r>
      <w:r>
        <w:rPr>
          <w:rFonts w:hint="eastAsia" w:ascii="华文仿宋" w:hAnsi="华文仿宋" w:eastAsia="华文仿宋" w:cs="华文仿宋"/>
          <w:sz w:val="32"/>
          <w:szCs w:val="32"/>
        </w:rPr>
        <w:t>支</w:t>
      </w:r>
      <w:r>
        <w:rPr>
          <w:rFonts w:hint="eastAsia" w:ascii="华文仿宋" w:hAnsi="华文仿宋" w:eastAsia="华文仿宋" w:cs="华文仿宋"/>
          <w:sz w:val="32"/>
          <w:szCs w:val="32"/>
          <w:lang w:eastAsia="zh-CN"/>
        </w:rPr>
        <w:t>付全额</w:t>
      </w:r>
      <w:r>
        <w:rPr>
          <w:rFonts w:hint="eastAsia" w:ascii="华文仿宋" w:hAnsi="华文仿宋" w:eastAsia="华文仿宋" w:cs="华文仿宋"/>
          <w:sz w:val="32"/>
          <w:szCs w:val="32"/>
        </w:rPr>
        <w:t>货款。</w:t>
      </w:r>
    </w:p>
    <w:p>
      <w:pPr>
        <w:keepNext w:val="0"/>
        <w:keepLines w:val="0"/>
        <w:pageBreakBefore w:val="0"/>
        <w:widowControl w:val="0"/>
        <w:kinsoku/>
        <w:wordWrap/>
        <w:overflowPunct/>
        <w:topLinePunct w:val="0"/>
        <w:autoSpaceDE/>
        <w:autoSpaceDN/>
        <w:bidi w:val="0"/>
        <w:adjustRightInd/>
        <w:snapToGrid/>
        <w:spacing w:line="360" w:lineRule="auto"/>
        <w:ind w:left="315" w:leftChars="150"/>
        <w:textAlignment w:val="auto"/>
        <w:outlineLvl w:val="0"/>
        <w:rPr>
          <w:rFonts w:hint="eastAsia" w:ascii="华文仿宋" w:hAnsi="华文仿宋" w:eastAsia="华文仿宋" w:cs="华文仿宋"/>
          <w:sz w:val="32"/>
          <w:szCs w:val="32"/>
        </w:rPr>
      </w:pPr>
      <w:r>
        <w:rPr>
          <w:rFonts w:hint="eastAsia" w:ascii="华文仿宋" w:hAnsi="华文仿宋" w:eastAsia="华文仿宋" w:cs="华文仿宋"/>
          <w:sz w:val="32"/>
          <w:szCs w:val="32"/>
        </w:rPr>
        <w:t>7、交货地点：采购人指定地点。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150"/>
        <w:textAlignment w:val="auto"/>
        <w:rPr>
          <w:rFonts w:hint="eastAsia" w:ascii="华文仿宋" w:hAnsi="华文仿宋" w:eastAsia="华文仿宋" w:cs="华文仿宋"/>
          <w:sz w:val="32"/>
          <w:szCs w:val="32"/>
        </w:rPr>
      </w:pPr>
      <w:r>
        <w:rPr>
          <w:rFonts w:hint="eastAsia" w:ascii="华文仿宋" w:hAnsi="华文仿宋" w:eastAsia="华文仿宋" w:cs="华文仿宋"/>
          <w:sz w:val="32"/>
          <w:szCs w:val="32"/>
        </w:rPr>
        <w:t>8、交货日期：接到采购方通知后3日内供货。</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lang w:val="en-US"/>
        </w:rPr>
      </w:pPr>
      <w:r>
        <w:rPr>
          <w:rFonts w:hint="eastAsia" w:ascii="华文仿宋" w:hAnsi="华文仿宋" w:eastAsia="华文仿宋" w:cs="华文仿宋"/>
          <w:sz w:val="32"/>
          <w:szCs w:val="32"/>
        </w:rPr>
        <w:t>附 1：</w:t>
      </w:r>
      <w:r>
        <w:rPr>
          <w:rFonts w:hint="eastAsia" w:ascii="华文仿宋" w:hAnsi="华文仿宋" w:eastAsia="华文仿宋" w:cs="华文仿宋"/>
          <w:color w:val="FF0000"/>
          <w:sz w:val="32"/>
          <w:szCs w:val="32"/>
          <w:lang w:eastAsia="zh-CN"/>
        </w:rPr>
        <w:t>开水炉过滤芯详细参数要求</w:t>
      </w:r>
    </w:p>
    <w:tbl>
      <w:tblPr>
        <w:tblStyle w:val="2"/>
        <w:tblW w:w="4998" w:type="pct"/>
        <w:tblInd w:w="0" w:type="dxa"/>
        <w:shd w:val="clear" w:color="auto" w:fill="auto"/>
        <w:tblLayout w:type="autofit"/>
        <w:tblCellMar>
          <w:top w:w="0" w:type="dxa"/>
          <w:left w:w="0" w:type="dxa"/>
          <w:bottom w:w="0" w:type="dxa"/>
          <w:right w:w="0" w:type="dxa"/>
        </w:tblCellMar>
      </w:tblPr>
      <w:tblGrid>
        <w:gridCol w:w="1819"/>
        <w:gridCol w:w="2118"/>
        <w:gridCol w:w="3657"/>
        <w:gridCol w:w="1903"/>
        <w:gridCol w:w="1505"/>
        <w:gridCol w:w="2980"/>
      </w:tblGrid>
      <w:tr>
        <w:tblPrEx>
          <w:shd w:val="clear" w:color="auto" w:fill="auto"/>
          <w:tblCellMar>
            <w:top w:w="0" w:type="dxa"/>
            <w:left w:w="0" w:type="dxa"/>
            <w:bottom w:w="0" w:type="dxa"/>
            <w:right w:w="0" w:type="dxa"/>
          </w:tblCellMar>
        </w:tblPrEx>
        <w:trPr>
          <w:trHeight w:val="540" w:hRule="atLeast"/>
        </w:trPr>
        <w:tc>
          <w:tcPr>
            <w:tcW w:w="650"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b/>
                <w:bCs/>
                <w:i w:val="0"/>
                <w:color w:val="000000"/>
                <w:sz w:val="32"/>
                <w:szCs w:val="32"/>
                <w:u w:val="none"/>
              </w:rPr>
            </w:pPr>
            <w:r>
              <w:rPr>
                <w:rFonts w:hint="eastAsia" w:ascii="宋体" w:hAnsi="宋体" w:eastAsia="宋体" w:cs="宋体"/>
                <w:b/>
                <w:bCs/>
                <w:i w:val="0"/>
                <w:color w:val="000000"/>
                <w:kern w:val="0"/>
                <w:sz w:val="32"/>
                <w:szCs w:val="32"/>
                <w:u w:val="none"/>
                <w:lang w:val="en-US" w:eastAsia="zh-CN" w:bidi="ar"/>
              </w:rPr>
              <w:t>序号</w:t>
            </w:r>
          </w:p>
        </w:tc>
        <w:tc>
          <w:tcPr>
            <w:tcW w:w="757"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b/>
                <w:bCs/>
                <w:i w:val="0"/>
                <w:color w:val="000000"/>
                <w:sz w:val="32"/>
                <w:szCs w:val="32"/>
                <w:u w:val="none"/>
              </w:rPr>
            </w:pPr>
            <w:r>
              <w:rPr>
                <w:rFonts w:hint="eastAsia" w:ascii="宋体" w:hAnsi="宋体" w:eastAsia="宋体" w:cs="宋体"/>
                <w:b/>
                <w:bCs/>
                <w:i w:val="0"/>
                <w:color w:val="000000"/>
                <w:kern w:val="0"/>
                <w:sz w:val="32"/>
                <w:szCs w:val="32"/>
                <w:u w:val="none"/>
                <w:lang w:val="en-US" w:eastAsia="zh-CN" w:bidi="ar"/>
              </w:rPr>
              <w:t>规格</w:t>
            </w:r>
          </w:p>
        </w:tc>
        <w:tc>
          <w:tcPr>
            <w:tcW w:w="1307" w:type="pct"/>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center"/>
              <w:textAlignment w:val="top"/>
              <w:rPr>
                <w:rFonts w:hint="eastAsia" w:ascii="宋体" w:hAnsi="宋体" w:eastAsia="宋体" w:cs="宋体"/>
                <w:b/>
                <w:bCs/>
                <w:i w:val="0"/>
                <w:color w:val="000000"/>
                <w:sz w:val="32"/>
                <w:szCs w:val="32"/>
                <w:u w:val="none"/>
              </w:rPr>
            </w:pPr>
            <w:r>
              <w:rPr>
                <w:rFonts w:hint="eastAsia" w:ascii="宋体" w:hAnsi="宋体" w:eastAsia="宋体" w:cs="宋体"/>
                <w:b/>
                <w:bCs/>
                <w:i w:val="0"/>
                <w:color w:val="000000"/>
                <w:kern w:val="0"/>
                <w:sz w:val="32"/>
                <w:szCs w:val="32"/>
                <w:u w:val="none"/>
                <w:lang w:val="en-US" w:eastAsia="zh-CN" w:bidi="ar"/>
              </w:rPr>
              <w:t>材质及功能要求</w:t>
            </w:r>
          </w:p>
        </w:tc>
        <w:tc>
          <w:tcPr>
            <w:tcW w:w="680" w:type="pct"/>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32"/>
                <w:szCs w:val="32"/>
                <w:u w:val="none"/>
              </w:rPr>
            </w:pPr>
            <w:r>
              <w:rPr>
                <w:rFonts w:hint="eastAsia" w:ascii="宋体" w:hAnsi="宋体" w:eastAsia="宋体" w:cs="宋体"/>
                <w:b/>
                <w:bCs/>
                <w:i w:val="0"/>
                <w:color w:val="000000"/>
                <w:kern w:val="0"/>
                <w:sz w:val="32"/>
                <w:szCs w:val="32"/>
                <w:u w:val="none"/>
                <w:lang w:val="en-US" w:eastAsia="zh-CN" w:bidi="ar"/>
              </w:rPr>
              <w:t>数量</w:t>
            </w:r>
          </w:p>
        </w:tc>
        <w:tc>
          <w:tcPr>
            <w:tcW w:w="538" w:type="pct"/>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32"/>
                <w:szCs w:val="32"/>
                <w:u w:val="none"/>
              </w:rPr>
            </w:pPr>
            <w:r>
              <w:rPr>
                <w:rFonts w:hint="eastAsia" w:ascii="宋体" w:hAnsi="宋体" w:eastAsia="宋体" w:cs="宋体"/>
                <w:b/>
                <w:bCs/>
                <w:i w:val="0"/>
                <w:color w:val="000000"/>
                <w:kern w:val="0"/>
                <w:sz w:val="32"/>
                <w:szCs w:val="32"/>
                <w:u w:val="none"/>
                <w:lang w:val="en-US" w:eastAsia="zh-CN" w:bidi="ar"/>
              </w:rPr>
              <w:t>单价</w:t>
            </w:r>
          </w:p>
        </w:tc>
        <w:tc>
          <w:tcPr>
            <w:tcW w:w="1065" w:type="pct"/>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bCs/>
                <w:i w:val="0"/>
                <w:color w:val="000000"/>
                <w:sz w:val="32"/>
                <w:szCs w:val="32"/>
                <w:u w:val="none"/>
              </w:rPr>
            </w:pPr>
            <w:r>
              <w:rPr>
                <w:rFonts w:hint="eastAsia" w:ascii="宋体" w:hAnsi="宋体" w:eastAsia="宋体" w:cs="宋体"/>
                <w:b/>
                <w:bCs/>
                <w:i w:val="0"/>
                <w:color w:val="000000"/>
                <w:kern w:val="0"/>
                <w:sz w:val="32"/>
                <w:szCs w:val="32"/>
                <w:u w:val="none"/>
                <w:lang w:val="en-US" w:eastAsia="zh-CN" w:bidi="ar"/>
              </w:rPr>
              <w:t>总价格</w:t>
            </w:r>
          </w:p>
        </w:tc>
      </w:tr>
      <w:tr>
        <w:tblPrEx>
          <w:tblCellMar>
            <w:top w:w="0" w:type="dxa"/>
            <w:left w:w="0" w:type="dxa"/>
            <w:bottom w:w="0" w:type="dxa"/>
            <w:right w:w="0" w:type="dxa"/>
          </w:tblCellMar>
        </w:tblPrEx>
        <w:trPr>
          <w:trHeight w:val="1940" w:hRule="atLeast"/>
        </w:trPr>
        <w:tc>
          <w:tcPr>
            <w:tcW w:w="650" w:type="pct"/>
            <w:tcBorders>
              <w:top w:val="single" w:color="000000" w:sz="8" w:space="0"/>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ascii="Calibri" w:hAnsi="Calibri" w:eastAsia="宋体" w:cs="Calibri"/>
                <w:i w:val="0"/>
                <w:color w:val="000000"/>
                <w:sz w:val="32"/>
                <w:szCs w:val="32"/>
                <w:u w:val="none"/>
              </w:rPr>
            </w:pPr>
            <w:r>
              <w:rPr>
                <w:rFonts w:hint="default" w:ascii="Calibri" w:hAnsi="Calibri" w:eastAsia="宋体" w:cs="Calibri"/>
                <w:i w:val="0"/>
                <w:color w:val="000000"/>
                <w:kern w:val="0"/>
                <w:sz w:val="32"/>
                <w:szCs w:val="32"/>
                <w:u w:val="none"/>
                <w:lang w:val="en-US" w:eastAsia="zh-CN" w:bidi="ar"/>
              </w:rPr>
              <w:t>1</w:t>
            </w:r>
          </w:p>
        </w:tc>
        <w:tc>
          <w:tcPr>
            <w:tcW w:w="757" w:type="pct"/>
            <w:tcBorders>
              <w:top w:val="single" w:color="000000" w:sz="8" w:space="0"/>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both"/>
              <w:textAlignment w:val="top"/>
              <w:rPr>
                <w:rFonts w:hint="eastAsia" w:cs="Calibri"/>
                <w:i w:val="0"/>
                <w:color w:val="000000"/>
                <w:kern w:val="0"/>
                <w:sz w:val="32"/>
                <w:szCs w:val="32"/>
                <w:u w:val="none"/>
                <w:lang w:val="en-US" w:eastAsia="zh-CN" w:bidi="ar"/>
              </w:rPr>
            </w:pPr>
            <w:r>
              <w:rPr>
                <w:rFonts w:hint="eastAsia" w:cs="Calibri"/>
                <w:i w:val="0"/>
                <w:color w:val="000000"/>
                <w:kern w:val="0"/>
                <w:sz w:val="32"/>
                <w:szCs w:val="32"/>
                <w:u w:val="none"/>
                <w:lang w:val="en-US" w:eastAsia="zh-CN" w:bidi="ar"/>
              </w:rPr>
              <w:t>一级10寸</w:t>
            </w:r>
          </w:p>
          <w:p>
            <w:pPr>
              <w:keepNext w:val="0"/>
              <w:keepLines w:val="0"/>
              <w:widowControl/>
              <w:suppressLineNumbers w:val="0"/>
              <w:ind w:firstLine="320" w:firstLineChars="100"/>
              <w:jc w:val="both"/>
              <w:textAlignment w:val="top"/>
              <w:rPr>
                <w:rFonts w:hint="default" w:ascii="Calibri" w:hAnsi="Calibri" w:eastAsia="宋体" w:cs="Calibri"/>
                <w:i w:val="0"/>
                <w:color w:val="000000"/>
                <w:sz w:val="32"/>
                <w:szCs w:val="32"/>
                <w:u w:val="none"/>
                <w:lang w:val="en-US"/>
              </w:rPr>
            </w:pPr>
            <w:r>
              <w:rPr>
                <w:rFonts w:hint="eastAsia" w:cs="Calibri"/>
                <w:i w:val="0"/>
                <w:color w:val="000000"/>
                <w:kern w:val="0"/>
                <w:sz w:val="32"/>
                <w:szCs w:val="32"/>
                <w:u w:val="none"/>
                <w:lang w:val="en-US" w:eastAsia="zh-CN" w:bidi="ar"/>
              </w:rPr>
              <w:t>PP棉</w:t>
            </w:r>
          </w:p>
        </w:tc>
        <w:tc>
          <w:tcPr>
            <w:tcW w:w="1307" w:type="pct"/>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both"/>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采用食品级聚丙烯材质，能有效过滤水中泥沙铁锈、红虫以及大于5微米的颗粒杂质。对后面的滤芯起到很好的保护作用。</w:t>
            </w:r>
          </w:p>
        </w:tc>
        <w:tc>
          <w:tcPr>
            <w:tcW w:w="680"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6</w:t>
            </w:r>
            <w:r>
              <w:rPr>
                <w:rStyle w:val="6"/>
                <w:rFonts w:eastAsia="宋体"/>
                <w:lang w:val="en-US" w:eastAsia="zh-CN" w:bidi="ar"/>
              </w:rPr>
              <w:t>0</w:t>
            </w:r>
            <w:r>
              <w:rPr>
                <w:rStyle w:val="5"/>
                <w:lang w:val="en-US" w:eastAsia="zh-CN" w:bidi="ar"/>
              </w:rPr>
              <w:t>套</w:t>
            </w:r>
          </w:p>
        </w:tc>
        <w:tc>
          <w:tcPr>
            <w:tcW w:w="538"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32"/>
                <w:szCs w:val="32"/>
                <w:u w:val="none"/>
              </w:rPr>
            </w:pPr>
            <w:r>
              <w:rPr>
                <w:rFonts w:hint="default" w:ascii="Calibri" w:hAnsi="Calibri" w:eastAsia="宋体" w:cs="Calibri"/>
                <w:i w:val="0"/>
                <w:color w:val="000000"/>
                <w:kern w:val="0"/>
                <w:sz w:val="32"/>
                <w:szCs w:val="32"/>
                <w:u w:val="none"/>
                <w:lang w:val="en-US" w:eastAsia="zh-CN" w:bidi="ar"/>
              </w:rPr>
              <w:t>80-</w:t>
            </w:r>
            <w:r>
              <w:rPr>
                <w:rStyle w:val="5"/>
                <w:lang w:val="en-US" w:eastAsia="zh-CN" w:bidi="ar"/>
              </w:rPr>
              <w:t>元</w:t>
            </w:r>
          </w:p>
        </w:tc>
        <w:tc>
          <w:tcPr>
            <w:tcW w:w="1065"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4800元</w:t>
            </w:r>
          </w:p>
        </w:tc>
      </w:tr>
      <w:tr>
        <w:tblPrEx>
          <w:tblCellMar>
            <w:top w:w="0" w:type="dxa"/>
            <w:left w:w="0" w:type="dxa"/>
            <w:bottom w:w="0" w:type="dxa"/>
            <w:right w:w="0" w:type="dxa"/>
          </w:tblCellMar>
        </w:tblPrEx>
        <w:trPr>
          <w:trHeight w:val="1230" w:hRule="atLeast"/>
        </w:trPr>
        <w:tc>
          <w:tcPr>
            <w:tcW w:w="650" w:type="pct"/>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default" w:ascii="Calibri" w:hAnsi="Calibri" w:eastAsia="宋体" w:cs="Calibri"/>
                <w:i w:val="0"/>
                <w:color w:val="000000"/>
                <w:sz w:val="32"/>
                <w:szCs w:val="32"/>
                <w:u w:val="none"/>
              </w:rPr>
            </w:pPr>
            <w:r>
              <w:rPr>
                <w:rFonts w:hint="default" w:ascii="Calibri" w:hAnsi="Calibri" w:eastAsia="宋体" w:cs="Calibri"/>
                <w:i w:val="0"/>
                <w:color w:val="000000"/>
                <w:kern w:val="0"/>
                <w:sz w:val="32"/>
                <w:szCs w:val="32"/>
                <w:u w:val="none"/>
                <w:lang w:val="en-US" w:eastAsia="zh-CN" w:bidi="ar"/>
              </w:rPr>
              <w:t>2</w:t>
            </w:r>
          </w:p>
        </w:tc>
        <w:tc>
          <w:tcPr>
            <w:tcW w:w="757" w:type="pct"/>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both"/>
              <w:textAlignment w:val="top"/>
              <w:rPr>
                <w:rFonts w:hint="default" w:ascii="Calibri" w:hAnsi="Calibri" w:eastAsia="宋体" w:cs="Calibri"/>
                <w:i w:val="0"/>
                <w:color w:val="000000"/>
                <w:sz w:val="32"/>
                <w:szCs w:val="32"/>
                <w:u w:val="none"/>
                <w:lang w:val="en-US"/>
              </w:rPr>
            </w:pPr>
            <w:r>
              <w:rPr>
                <w:rFonts w:hint="eastAsia" w:cs="Calibri"/>
                <w:i w:val="0"/>
                <w:color w:val="000000"/>
                <w:kern w:val="0"/>
                <w:sz w:val="32"/>
                <w:szCs w:val="32"/>
                <w:u w:val="none"/>
                <w:lang w:val="en-US" w:eastAsia="zh-CN" w:bidi="ar"/>
              </w:rPr>
              <w:t>二级10寸颗粒活性炭</w:t>
            </w:r>
          </w:p>
        </w:tc>
        <w:tc>
          <w:tcPr>
            <w:tcW w:w="1307" w:type="pct"/>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both"/>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采用食品级椰壳活性炭材质，能有效吸附水中的异色、异味、有机化学物质等杂质。</w:t>
            </w:r>
          </w:p>
        </w:tc>
        <w:tc>
          <w:tcPr>
            <w:tcW w:w="680"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6</w:t>
            </w:r>
            <w:r>
              <w:rPr>
                <w:rStyle w:val="6"/>
                <w:rFonts w:eastAsia="宋体"/>
                <w:lang w:val="en-US" w:eastAsia="zh-CN" w:bidi="ar"/>
              </w:rPr>
              <w:t>0</w:t>
            </w:r>
            <w:r>
              <w:rPr>
                <w:rStyle w:val="5"/>
                <w:lang w:val="en-US" w:eastAsia="zh-CN" w:bidi="ar"/>
              </w:rPr>
              <w:t>套</w:t>
            </w:r>
          </w:p>
        </w:tc>
        <w:tc>
          <w:tcPr>
            <w:tcW w:w="538"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110</w:t>
            </w:r>
            <w:r>
              <w:rPr>
                <w:rStyle w:val="6"/>
                <w:rFonts w:eastAsia="宋体"/>
                <w:lang w:val="en-US" w:eastAsia="zh-CN" w:bidi="ar"/>
              </w:rPr>
              <w:t>元</w:t>
            </w:r>
          </w:p>
        </w:tc>
        <w:tc>
          <w:tcPr>
            <w:tcW w:w="1065"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6600元</w:t>
            </w:r>
          </w:p>
        </w:tc>
      </w:tr>
      <w:tr>
        <w:tblPrEx>
          <w:tblCellMar>
            <w:top w:w="0" w:type="dxa"/>
            <w:left w:w="0" w:type="dxa"/>
            <w:bottom w:w="0" w:type="dxa"/>
            <w:right w:w="0" w:type="dxa"/>
          </w:tblCellMar>
        </w:tblPrEx>
        <w:trPr>
          <w:trHeight w:val="1665" w:hRule="atLeast"/>
        </w:trPr>
        <w:tc>
          <w:tcPr>
            <w:tcW w:w="650" w:type="pct"/>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top"/>
              <w:rPr>
                <w:rFonts w:hint="default" w:ascii="Calibri" w:hAnsi="Calibri" w:eastAsia="宋体" w:cs="Calibri"/>
                <w:i w:val="0"/>
                <w:color w:val="000000"/>
                <w:sz w:val="32"/>
                <w:szCs w:val="32"/>
                <w:u w:val="none"/>
              </w:rPr>
            </w:pPr>
            <w:r>
              <w:rPr>
                <w:rFonts w:hint="default" w:ascii="Calibri" w:hAnsi="Calibri" w:eastAsia="宋体" w:cs="Calibri"/>
                <w:i w:val="0"/>
                <w:color w:val="000000"/>
                <w:kern w:val="0"/>
                <w:sz w:val="32"/>
                <w:szCs w:val="32"/>
                <w:u w:val="none"/>
                <w:lang w:val="en-US" w:eastAsia="zh-CN" w:bidi="ar"/>
              </w:rPr>
              <w:t>3</w:t>
            </w:r>
          </w:p>
        </w:tc>
        <w:tc>
          <w:tcPr>
            <w:tcW w:w="757" w:type="pct"/>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ind w:left="640" w:hanging="640" w:hangingChars="200"/>
              <w:jc w:val="both"/>
              <w:textAlignment w:val="top"/>
              <w:rPr>
                <w:rFonts w:hint="default" w:ascii="宋体" w:hAnsi="宋体" w:eastAsia="宋体" w:cs="宋体"/>
                <w:i w:val="0"/>
                <w:color w:val="000000"/>
                <w:sz w:val="32"/>
                <w:szCs w:val="32"/>
                <w:u w:val="none"/>
                <w:lang w:val="en-US"/>
              </w:rPr>
            </w:pPr>
            <w:r>
              <w:rPr>
                <w:rFonts w:hint="eastAsia" w:ascii="宋体" w:hAnsi="宋体" w:eastAsia="宋体" w:cs="宋体"/>
                <w:i w:val="0"/>
                <w:color w:val="000000"/>
                <w:kern w:val="0"/>
                <w:sz w:val="32"/>
                <w:szCs w:val="32"/>
                <w:u w:val="none"/>
                <w:lang w:val="en-US" w:eastAsia="zh-CN" w:bidi="ar"/>
              </w:rPr>
              <w:t xml:space="preserve"> </w:t>
            </w:r>
            <w:r>
              <w:rPr>
                <w:rStyle w:val="6"/>
                <w:rFonts w:hint="eastAsia"/>
                <w:lang w:val="en-US" w:eastAsia="zh-CN" w:bidi="ar"/>
              </w:rPr>
              <w:t>三级10寸  PP棉</w:t>
            </w:r>
          </w:p>
        </w:tc>
        <w:tc>
          <w:tcPr>
            <w:tcW w:w="1307" w:type="pct"/>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keepNext w:val="0"/>
              <w:keepLines w:val="0"/>
              <w:widowControl/>
              <w:suppressLineNumbers w:val="0"/>
              <w:jc w:val="both"/>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采用食品级材质，有效滤除水中残留化学物质及部分有机物同时阻挡碳粉，有效延长滤膜使用寿命</w:t>
            </w:r>
          </w:p>
        </w:tc>
        <w:tc>
          <w:tcPr>
            <w:tcW w:w="680"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32"/>
                <w:szCs w:val="32"/>
                <w:u w:val="none"/>
              </w:rPr>
            </w:pPr>
            <w:r>
              <w:rPr>
                <w:rFonts w:hint="default" w:ascii="Calibri" w:hAnsi="Calibri" w:eastAsia="宋体" w:cs="Calibri"/>
                <w:i w:val="0"/>
                <w:color w:val="000000"/>
                <w:kern w:val="0"/>
                <w:sz w:val="32"/>
                <w:szCs w:val="32"/>
                <w:u w:val="none"/>
                <w:lang w:val="en-US" w:eastAsia="zh-CN" w:bidi="ar"/>
              </w:rPr>
              <w:t xml:space="preserve"> </w:t>
            </w:r>
            <w:r>
              <w:rPr>
                <w:rStyle w:val="5"/>
                <w:lang w:val="en-US" w:eastAsia="zh-CN" w:bidi="ar"/>
              </w:rPr>
              <w:t>6</w:t>
            </w:r>
            <w:r>
              <w:rPr>
                <w:rStyle w:val="6"/>
                <w:rFonts w:eastAsia="宋体"/>
                <w:lang w:val="en-US" w:eastAsia="zh-CN" w:bidi="ar"/>
              </w:rPr>
              <w:t>0</w:t>
            </w:r>
            <w:r>
              <w:rPr>
                <w:rStyle w:val="5"/>
                <w:lang w:val="en-US" w:eastAsia="zh-CN" w:bidi="ar"/>
              </w:rPr>
              <w:t>套</w:t>
            </w:r>
          </w:p>
        </w:tc>
        <w:tc>
          <w:tcPr>
            <w:tcW w:w="538"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Calibri" w:hAnsi="Calibri" w:eastAsia="宋体" w:cs="Calibri"/>
                <w:i w:val="0"/>
                <w:color w:val="000000"/>
                <w:sz w:val="32"/>
                <w:szCs w:val="32"/>
                <w:u w:val="none"/>
              </w:rPr>
            </w:pPr>
            <w:r>
              <w:rPr>
                <w:rFonts w:hint="default" w:ascii="Calibri" w:hAnsi="Calibri" w:eastAsia="宋体" w:cs="Calibri"/>
                <w:i w:val="0"/>
                <w:color w:val="000000"/>
                <w:kern w:val="0"/>
                <w:sz w:val="32"/>
                <w:szCs w:val="32"/>
                <w:u w:val="none"/>
                <w:lang w:val="en-US" w:eastAsia="zh-CN" w:bidi="ar"/>
              </w:rPr>
              <w:t>110</w:t>
            </w:r>
            <w:r>
              <w:rPr>
                <w:rStyle w:val="5"/>
                <w:lang w:val="en-US" w:eastAsia="zh-CN" w:bidi="ar"/>
              </w:rPr>
              <w:t>元</w:t>
            </w:r>
          </w:p>
        </w:tc>
        <w:tc>
          <w:tcPr>
            <w:tcW w:w="1065"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6600元</w:t>
            </w:r>
          </w:p>
        </w:tc>
      </w:tr>
      <w:tr>
        <w:tblPrEx>
          <w:tblCellMar>
            <w:top w:w="0" w:type="dxa"/>
            <w:left w:w="0" w:type="dxa"/>
            <w:bottom w:w="0" w:type="dxa"/>
            <w:right w:w="0" w:type="dxa"/>
          </w:tblCellMar>
        </w:tblPrEx>
        <w:trPr>
          <w:trHeight w:val="700" w:hRule="atLeast"/>
        </w:trPr>
        <w:tc>
          <w:tcPr>
            <w:tcW w:w="650" w:type="pct"/>
            <w:tcBorders>
              <w:top w:val="nil"/>
              <w:left w:val="single" w:color="000000" w:sz="8" w:space="0"/>
              <w:bottom w:val="single" w:color="000000" w:sz="8" w:space="0"/>
              <w:right w:val="single" w:color="000000" w:sz="8" w:space="0"/>
            </w:tcBorders>
            <w:shd w:val="clear" w:color="auto" w:fill="auto"/>
            <w:tcMar>
              <w:top w:w="15" w:type="dxa"/>
              <w:left w:w="15" w:type="dxa"/>
              <w:right w:w="15" w:type="dxa"/>
            </w:tcMar>
            <w:vAlign w:val="top"/>
          </w:tcPr>
          <w:p>
            <w:pPr>
              <w:jc w:val="center"/>
              <w:rPr>
                <w:rFonts w:hint="default" w:ascii="Calibri" w:hAnsi="Calibri" w:eastAsia="宋体" w:cs="Calibri"/>
                <w:i w:val="0"/>
                <w:color w:val="000000"/>
                <w:sz w:val="32"/>
                <w:szCs w:val="32"/>
                <w:u w:val="none"/>
              </w:rPr>
            </w:pPr>
          </w:p>
        </w:tc>
        <w:tc>
          <w:tcPr>
            <w:tcW w:w="757" w:type="pct"/>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center"/>
              <w:rPr>
                <w:rFonts w:hint="eastAsia" w:ascii="宋体" w:hAnsi="宋体" w:eastAsia="宋体" w:cs="宋体"/>
                <w:i w:val="0"/>
                <w:color w:val="000000"/>
                <w:sz w:val="32"/>
                <w:szCs w:val="32"/>
                <w:u w:val="none"/>
                <w:lang w:eastAsia="zh-CN"/>
              </w:rPr>
            </w:pPr>
            <w:r>
              <w:rPr>
                <w:rFonts w:hint="eastAsia" w:ascii="宋体" w:hAnsi="宋体" w:eastAsia="宋体" w:cs="宋体"/>
                <w:i w:val="0"/>
                <w:color w:val="000000"/>
                <w:sz w:val="32"/>
                <w:szCs w:val="32"/>
                <w:u w:val="none"/>
                <w:lang w:eastAsia="zh-CN"/>
              </w:rPr>
              <w:t>合计</w:t>
            </w:r>
          </w:p>
        </w:tc>
        <w:tc>
          <w:tcPr>
            <w:tcW w:w="1307" w:type="pct"/>
            <w:tcBorders>
              <w:top w:val="nil"/>
              <w:left w:val="nil"/>
              <w:bottom w:val="single" w:color="000000" w:sz="8" w:space="0"/>
              <w:right w:val="single" w:color="000000" w:sz="8" w:space="0"/>
            </w:tcBorders>
            <w:shd w:val="clear" w:color="auto" w:fill="auto"/>
            <w:tcMar>
              <w:top w:w="15" w:type="dxa"/>
              <w:left w:w="15" w:type="dxa"/>
              <w:right w:w="15" w:type="dxa"/>
            </w:tcMar>
            <w:vAlign w:val="top"/>
          </w:tcPr>
          <w:p>
            <w:pPr>
              <w:jc w:val="both"/>
              <w:rPr>
                <w:rFonts w:hint="eastAsia" w:ascii="宋体" w:hAnsi="宋体" w:eastAsia="宋体" w:cs="宋体"/>
                <w:i w:val="0"/>
                <w:color w:val="000000"/>
                <w:sz w:val="32"/>
                <w:szCs w:val="32"/>
                <w:u w:val="none"/>
              </w:rPr>
            </w:pPr>
          </w:p>
        </w:tc>
        <w:tc>
          <w:tcPr>
            <w:tcW w:w="680"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jc w:val="center"/>
              <w:rPr>
                <w:rFonts w:hint="default" w:ascii="Calibri" w:hAnsi="Calibri" w:eastAsia="宋体" w:cs="Calibri"/>
                <w:i w:val="0"/>
                <w:color w:val="000000"/>
                <w:sz w:val="32"/>
                <w:szCs w:val="32"/>
                <w:u w:val="none"/>
              </w:rPr>
            </w:pPr>
          </w:p>
        </w:tc>
        <w:tc>
          <w:tcPr>
            <w:tcW w:w="538"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default" w:ascii="Calibri" w:hAnsi="Calibri" w:eastAsia="宋体" w:cs="Calibri"/>
                <w:i w:val="0"/>
                <w:color w:val="000000"/>
                <w:sz w:val="32"/>
                <w:szCs w:val="32"/>
                <w:u w:val="none"/>
              </w:rPr>
            </w:pPr>
          </w:p>
        </w:tc>
        <w:tc>
          <w:tcPr>
            <w:tcW w:w="1065" w:type="pct"/>
            <w:tcBorders>
              <w:top w:val="nil"/>
              <w:left w:val="nil"/>
              <w:bottom w:val="single" w:color="000000" w:sz="8" w:space="0"/>
              <w:right w:val="single" w:color="000000" w:sz="8"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32"/>
                <w:szCs w:val="32"/>
                <w:u w:val="none"/>
              </w:rPr>
            </w:pPr>
            <w:r>
              <w:rPr>
                <w:rFonts w:hint="eastAsia" w:ascii="宋体" w:hAnsi="宋体" w:eastAsia="宋体" w:cs="宋体"/>
                <w:i w:val="0"/>
                <w:color w:val="000000"/>
                <w:kern w:val="0"/>
                <w:sz w:val="32"/>
                <w:szCs w:val="32"/>
                <w:u w:val="none"/>
                <w:lang w:val="en-US" w:eastAsia="zh-CN" w:bidi="ar"/>
              </w:rPr>
              <w:t>18000元</w:t>
            </w:r>
          </w:p>
        </w:tc>
      </w:tr>
    </w:tbl>
    <w:p>
      <w:pPr>
        <w:rPr>
          <w:sz w:val="32"/>
          <w:szCs w:val="32"/>
          <w:lang w:val="en-US"/>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仿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ACB7BD"/>
    <w:multiLevelType w:val="singleLevel"/>
    <w:tmpl w:val="C8ACB7B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5B7BBC"/>
    <w:rsid w:val="06A655F0"/>
    <w:rsid w:val="07AA7E49"/>
    <w:rsid w:val="0C787383"/>
    <w:rsid w:val="0CA018B2"/>
    <w:rsid w:val="0CFA7015"/>
    <w:rsid w:val="0E3C1403"/>
    <w:rsid w:val="0F0550AB"/>
    <w:rsid w:val="0FC704FA"/>
    <w:rsid w:val="1181147F"/>
    <w:rsid w:val="162C5795"/>
    <w:rsid w:val="1A9155CB"/>
    <w:rsid w:val="1AA7403A"/>
    <w:rsid w:val="1F744BAB"/>
    <w:rsid w:val="2459204A"/>
    <w:rsid w:val="25797D61"/>
    <w:rsid w:val="2889794C"/>
    <w:rsid w:val="291656B3"/>
    <w:rsid w:val="2B680EC6"/>
    <w:rsid w:val="2C831A46"/>
    <w:rsid w:val="2ECF137B"/>
    <w:rsid w:val="398127B9"/>
    <w:rsid w:val="39C715F9"/>
    <w:rsid w:val="3FF6713A"/>
    <w:rsid w:val="40851F2D"/>
    <w:rsid w:val="422605E0"/>
    <w:rsid w:val="450574BB"/>
    <w:rsid w:val="487542FF"/>
    <w:rsid w:val="4F813519"/>
    <w:rsid w:val="51103478"/>
    <w:rsid w:val="537A44CD"/>
    <w:rsid w:val="54132AA7"/>
    <w:rsid w:val="56C07C92"/>
    <w:rsid w:val="5C4D606C"/>
    <w:rsid w:val="64DB409C"/>
    <w:rsid w:val="6D3E031D"/>
    <w:rsid w:val="6F3F5695"/>
    <w:rsid w:val="6FB451A7"/>
    <w:rsid w:val="710F7E18"/>
    <w:rsid w:val="73AE2105"/>
    <w:rsid w:val="788948A2"/>
    <w:rsid w:val="7B1631C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
    <w:name w:val="font11"/>
    <w:basedOn w:val="4"/>
    <w:qFormat/>
    <w:uiPriority w:val="0"/>
    <w:rPr>
      <w:rFonts w:hint="eastAsia" w:ascii="宋体" w:hAnsi="宋体" w:eastAsia="宋体" w:cs="宋体"/>
      <w:color w:val="000000"/>
      <w:sz w:val="32"/>
      <w:szCs w:val="32"/>
      <w:u w:val="none"/>
    </w:rPr>
  </w:style>
  <w:style w:type="character" w:customStyle="1" w:styleId="6">
    <w:name w:val="font21"/>
    <w:basedOn w:val="4"/>
    <w:qFormat/>
    <w:uiPriority w:val="0"/>
    <w:rPr>
      <w:rFonts w:hint="default" w:ascii="Calibri" w:hAnsi="Calibri" w:cs="Calibri"/>
      <w:color w:val="000000"/>
      <w:sz w:val="32"/>
      <w:szCs w:val="32"/>
      <w:u w:val="none"/>
    </w:rPr>
  </w:style>
  <w:style w:type="paragraph" w:styleId="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kingsoft</dc:creator>
  <cp:lastModifiedBy>Administrator</cp:lastModifiedBy>
  <cp:lastPrinted>2021-08-05T01:51:00Z</cp:lastPrinted>
  <dcterms:modified xsi:type="dcterms:W3CDTF">2021-08-06T00:49:10Z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