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Theme="majorEastAsia" w:hAnsiTheme="majorEastAsia" w:eastAsiaTheme="majorEastAsia" w:cstheme="majorEastAsia"/>
          <w:b w:val="0"/>
          <w:bCs w:val="0"/>
          <w:sz w:val="30"/>
          <w:szCs w:val="30"/>
          <w:lang w:val="en-US" w:eastAsia="zh-CN"/>
        </w:rPr>
      </w:pPr>
      <w:bookmarkStart w:id="0" w:name="_GoBack"/>
      <w:bookmarkEnd w:id="0"/>
      <w:r>
        <w:rPr>
          <w:rFonts w:hint="eastAsia" w:asciiTheme="majorEastAsia" w:hAnsiTheme="majorEastAsia" w:eastAsiaTheme="majorEastAsia" w:cstheme="majorEastAsia"/>
          <w:b w:val="0"/>
          <w:bCs w:val="0"/>
          <w:sz w:val="32"/>
          <w:szCs w:val="32"/>
          <w:lang w:val="en-US" w:eastAsia="zh-CN"/>
        </w:rPr>
        <w:t>我院采购的动静脉脉冲气压治疗仪</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动静脉脉冲气压治疗仪设备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动静脉脉冲气压治疗仪</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1</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2021-04-15T08:48:00Z</cp:lastPrinted>
  <dcterms:modified xsi:type="dcterms:W3CDTF">2021-08-24T01:18:35Z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