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tabs>
          <w:tab w:val="left" w:pos="3753"/>
        </w:tabs>
        <w:textAlignment w:val="auto"/>
        <w:rPr>
          <w:rFonts w:ascii="宋体" w:hAnsi="Courier New"/>
          <w:szCs w:val="20"/>
        </w:rPr>
      </w:pPr>
    </w:p>
    <w:p>
      <w:pPr>
        <w:jc w:val="center"/>
        <w:rPr>
          <w:rFonts w:hint="eastAsia" w:ascii="Times New Roman" w:hAnsi="Times New Roman" w:cs="Times New Roman"/>
          <w:b/>
          <w:bCs/>
          <w:sz w:val="36"/>
          <w:szCs w:val="36"/>
        </w:rPr>
      </w:pPr>
      <w:r>
        <w:rPr>
          <w:rFonts w:hint="eastAsia" w:ascii="Times New Roman" w:hAnsi="Times New Roman" w:cs="Times New Roman"/>
          <w:b/>
          <w:bCs/>
          <w:sz w:val="36"/>
          <w:szCs w:val="36"/>
        </w:rPr>
        <w:t>市人民医院门诊立式液晶显示系统项目</w:t>
      </w:r>
    </w:p>
    <w:p>
      <w:pPr>
        <w:jc w:val="center"/>
        <w:rPr>
          <w:rFonts w:hint="eastAsia" w:ascii="Times New Roman" w:hAnsi="Times New Roman" w:cs="Times New Roman"/>
          <w:b/>
          <w:bCs/>
          <w:sz w:val="36"/>
          <w:szCs w:val="36"/>
        </w:rPr>
      </w:pPr>
      <w:r>
        <w:rPr>
          <w:rFonts w:hint="eastAsia" w:ascii="Times New Roman" w:hAnsi="Times New Roman" w:cs="Times New Roman"/>
          <w:b/>
          <w:bCs/>
          <w:sz w:val="36"/>
          <w:szCs w:val="36"/>
        </w:rPr>
        <w:t>采购需求</w:t>
      </w:r>
    </w:p>
    <w:p>
      <w:pPr>
        <w:widowControl w:val="0"/>
        <w:numPr>
          <w:ilvl w:val="0"/>
          <w:numId w:val="2"/>
        </w:numPr>
        <w:textAlignment w:val="auto"/>
        <w:rPr>
          <w:sz w:val="30"/>
          <w:szCs w:val="30"/>
        </w:rPr>
      </w:pPr>
      <w:r>
        <w:rPr>
          <w:rFonts w:hint="eastAsia"/>
          <w:sz w:val="30"/>
          <w:szCs w:val="30"/>
        </w:rPr>
        <w:t>项目概况</w:t>
      </w:r>
    </w:p>
    <w:p>
      <w:pPr>
        <w:spacing w:line="360" w:lineRule="auto"/>
        <w:ind w:firstLine="560" w:firstLineChars="200"/>
        <w:rPr>
          <w:sz w:val="28"/>
          <w:szCs w:val="28"/>
        </w:rPr>
      </w:pPr>
      <w:r>
        <w:rPr>
          <w:rFonts w:hint="eastAsia" w:ascii="Calibri" w:hAnsi="Calibri"/>
          <w:sz w:val="28"/>
          <w:szCs w:val="36"/>
        </w:rPr>
        <w:t>为提升患者就医感受，改善门诊就诊环境，实现无纸化信息发布，门诊部拟采用立式液晶显示屏，用于门诊各楼层出诊信息发布、专家及科室介绍、就诊布局显示、就诊流程介绍、健康时政宣教、物价信息公示、安全风险提示等工作。</w:t>
      </w:r>
      <w:r>
        <w:rPr>
          <w:rFonts w:hint="eastAsia" w:ascii="Calibri" w:hAnsi="Calibri"/>
          <w:sz w:val="28"/>
          <w:szCs w:val="36"/>
          <w:lang w:val="en-US" w:eastAsia="zh-CN"/>
        </w:rPr>
        <w:t>拟</w:t>
      </w:r>
      <w:r>
        <w:rPr>
          <w:rFonts w:hint="eastAsia" w:ascii="Calibri" w:hAnsi="Calibri" w:eastAsia="宋体" w:cs="Times New Roman"/>
          <w:b w:val="0"/>
          <w:kern w:val="2"/>
          <w:sz w:val="28"/>
          <w:szCs w:val="36"/>
          <w:lang w:val="en-US" w:eastAsia="zh-CN" w:bidi="ar-SA"/>
        </w:rPr>
        <w:t>采购立式液晶显示屏10块及配套系统软件</w:t>
      </w:r>
      <w:r>
        <w:rPr>
          <w:rFonts w:hint="eastAsia" w:ascii="Calibri" w:hAnsi="Calibri" w:cs="Times New Roman"/>
          <w:b w:val="0"/>
          <w:kern w:val="2"/>
          <w:sz w:val="28"/>
          <w:szCs w:val="36"/>
          <w:lang w:val="en-US" w:eastAsia="zh-CN" w:bidi="ar-SA"/>
        </w:rPr>
        <w:t>。</w:t>
      </w:r>
      <w:r>
        <w:rPr>
          <w:rFonts w:hint="eastAsia"/>
          <w:sz w:val="28"/>
          <w:szCs w:val="28"/>
        </w:rPr>
        <w:t>未到现场调研者，表示认可本案。</w:t>
      </w:r>
    </w:p>
    <w:p>
      <w:pPr>
        <w:widowControl w:val="0"/>
        <w:numPr>
          <w:ilvl w:val="0"/>
          <w:numId w:val="2"/>
        </w:numPr>
        <w:textAlignment w:val="auto"/>
        <w:rPr>
          <w:sz w:val="30"/>
          <w:szCs w:val="30"/>
        </w:rPr>
      </w:pPr>
      <w:r>
        <w:rPr>
          <w:rFonts w:hint="eastAsia"/>
          <w:sz w:val="30"/>
          <w:szCs w:val="30"/>
        </w:rPr>
        <w:t>需求清单及参数要求</w:t>
      </w:r>
    </w:p>
    <w:tbl>
      <w:tblPr>
        <w:tblStyle w:val="14"/>
        <w:tblW w:w="8998" w:type="dxa"/>
        <w:jc w:val="center"/>
        <w:tblLayout w:type="fixed"/>
        <w:tblCellMar>
          <w:top w:w="0" w:type="dxa"/>
          <w:left w:w="0" w:type="dxa"/>
          <w:bottom w:w="0" w:type="dxa"/>
          <w:right w:w="0" w:type="dxa"/>
        </w:tblCellMar>
      </w:tblPr>
      <w:tblGrid>
        <w:gridCol w:w="675"/>
        <w:gridCol w:w="993"/>
        <w:gridCol w:w="4787"/>
        <w:gridCol w:w="669"/>
        <w:gridCol w:w="873"/>
        <w:gridCol w:w="1001"/>
      </w:tblGrid>
      <w:tr>
        <w:tblPrEx>
          <w:tblCellMar>
            <w:top w:w="0" w:type="dxa"/>
            <w:left w:w="0" w:type="dxa"/>
            <w:bottom w:w="0" w:type="dxa"/>
            <w:right w:w="0" w:type="dxa"/>
          </w:tblCellMar>
        </w:tblPrEx>
        <w:trPr>
          <w:trHeight w:val="315" w:hRule="atLeast"/>
          <w:jc w:val="center"/>
        </w:trPr>
        <w:tc>
          <w:tcPr>
            <w:tcW w:w="675" w:type="dxa"/>
            <w:tcBorders>
              <w:top w:val="single" w:color="000000" w:sz="8" w:space="0"/>
              <w:left w:val="single" w:color="000000" w:sz="8" w:space="0"/>
              <w:bottom w:val="single" w:color="000000" w:sz="8" w:space="0"/>
              <w:right w:val="single" w:color="000000" w:sz="8" w:space="0"/>
            </w:tcBorders>
            <w:vAlign w:val="center"/>
          </w:tcPr>
          <w:p>
            <w:pPr>
              <w:pStyle w:val="32"/>
              <w:spacing w:line="320" w:lineRule="exact"/>
              <w:jc w:val="center"/>
              <w:rPr>
                <w:rStyle w:val="21"/>
                <w:rFonts w:asciiTheme="minorEastAsia" w:hAnsiTheme="minorEastAsia" w:eastAsiaTheme="minorEastAsia"/>
                <w:b/>
                <w:sz w:val="24"/>
                <w:szCs w:val="24"/>
              </w:rPr>
            </w:pPr>
            <w:r>
              <w:rPr>
                <w:rStyle w:val="21"/>
                <w:rFonts w:asciiTheme="minorEastAsia" w:hAnsiTheme="minorEastAsia" w:eastAsiaTheme="minorEastAsia"/>
                <w:b/>
                <w:sz w:val="24"/>
                <w:szCs w:val="24"/>
              </w:rPr>
              <w:t>序号</w:t>
            </w:r>
          </w:p>
        </w:tc>
        <w:tc>
          <w:tcPr>
            <w:tcW w:w="993" w:type="dxa"/>
            <w:tcBorders>
              <w:top w:val="single" w:color="000000" w:sz="8" w:space="0"/>
              <w:left w:val="single" w:color="000000" w:sz="8" w:space="0"/>
              <w:bottom w:val="single" w:color="000000" w:sz="8" w:space="0"/>
              <w:right w:val="single" w:color="000000" w:sz="8" w:space="0"/>
            </w:tcBorders>
            <w:vAlign w:val="center"/>
          </w:tcPr>
          <w:p>
            <w:pPr>
              <w:pStyle w:val="32"/>
              <w:spacing w:line="320" w:lineRule="exact"/>
              <w:jc w:val="center"/>
              <w:rPr>
                <w:rStyle w:val="21"/>
                <w:rFonts w:asciiTheme="minorEastAsia" w:hAnsiTheme="minorEastAsia" w:eastAsiaTheme="minorEastAsia"/>
                <w:b/>
                <w:sz w:val="24"/>
                <w:szCs w:val="24"/>
              </w:rPr>
            </w:pPr>
            <w:r>
              <w:rPr>
                <w:rStyle w:val="21"/>
                <w:rFonts w:asciiTheme="minorEastAsia" w:hAnsiTheme="minorEastAsia" w:eastAsiaTheme="minorEastAsia"/>
                <w:b/>
                <w:sz w:val="24"/>
                <w:szCs w:val="24"/>
              </w:rPr>
              <w:t>内容</w:t>
            </w:r>
          </w:p>
        </w:tc>
        <w:tc>
          <w:tcPr>
            <w:tcW w:w="4787" w:type="dxa"/>
            <w:tcBorders>
              <w:top w:val="single" w:color="000000" w:sz="8" w:space="0"/>
              <w:left w:val="single" w:color="000000" w:sz="8" w:space="0"/>
              <w:bottom w:val="single" w:color="000000" w:sz="8" w:space="0"/>
              <w:right w:val="single" w:color="000000" w:sz="8" w:space="0"/>
            </w:tcBorders>
            <w:vAlign w:val="center"/>
          </w:tcPr>
          <w:p>
            <w:pPr>
              <w:pStyle w:val="32"/>
              <w:spacing w:line="320" w:lineRule="exact"/>
              <w:jc w:val="center"/>
              <w:rPr>
                <w:rStyle w:val="21"/>
                <w:rFonts w:asciiTheme="minorEastAsia" w:hAnsiTheme="minorEastAsia" w:eastAsiaTheme="minorEastAsia"/>
                <w:b/>
                <w:sz w:val="24"/>
                <w:szCs w:val="24"/>
              </w:rPr>
            </w:pPr>
            <w:r>
              <w:rPr>
                <w:rStyle w:val="21"/>
                <w:rFonts w:asciiTheme="minorEastAsia" w:hAnsiTheme="minorEastAsia" w:eastAsiaTheme="minorEastAsia"/>
                <w:b/>
                <w:sz w:val="24"/>
                <w:szCs w:val="24"/>
              </w:rPr>
              <w:t>型号及规格</w:t>
            </w:r>
          </w:p>
        </w:tc>
        <w:tc>
          <w:tcPr>
            <w:tcW w:w="669" w:type="dxa"/>
            <w:tcBorders>
              <w:top w:val="single" w:color="000000" w:sz="8" w:space="0"/>
              <w:left w:val="single" w:color="000000" w:sz="8" w:space="0"/>
              <w:bottom w:val="single" w:color="000000" w:sz="8" w:space="0"/>
              <w:right w:val="single" w:color="000000" w:sz="8" w:space="0"/>
            </w:tcBorders>
            <w:vAlign w:val="center"/>
          </w:tcPr>
          <w:p>
            <w:pPr>
              <w:pStyle w:val="32"/>
              <w:spacing w:line="320" w:lineRule="exact"/>
              <w:jc w:val="center"/>
              <w:rPr>
                <w:rStyle w:val="21"/>
                <w:rFonts w:asciiTheme="minorEastAsia" w:hAnsiTheme="minorEastAsia" w:eastAsiaTheme="minorEastAsia"/>
                <w:b/>
                <w:sz w:val="24"/>
                <w:szCs w:val="24"/>
              </w:rPr>
            </w:pPr>
            <w:r>
              <w:rPr>
                <w:rStyle w:val="21"/>
                <w:rFonts w:asciiTheme="minorEastAsia" w:hAnsiTheme="minorEastAsia" w:eastAsiaTheme="minorEastAsia"/>
                <w:b/>
                <w:sz w:val="24"/>
                <w:szCs w:val="24"/>
              </w:rPr>
              <w:t>数量</w:t>
            </w:r>
          </w:p>
        </w:tc>
        <w:tc>
          <w:tcPr>
            <w:tcW w:w="873" w:type="dxa"/>
            <w:tcBorders>
              <w:top w:val="single" w:color="000000" w:sz="8" w:space="0"/>
              <w:left w:val="single" w:color="000000" w:sz="8" w:space="0"/>
              <w:bottom w:val="single" w:color="000000" w:sz="8" w:space="0"/>
              <w:right w:val="single" w:color="000000" w:sz="8" w:space="0"/>
            </w:tcBorders>
          </w:tcPr>
          <w:p>
            <w:pPr>
              <w:pStyle w:val="32"/>
              <w:spacing w:line="320" w:lineRule="exact"/>
              <w:jc w:val="center"/>
              <w:rPr>
                <w:rStyle w:val="21"/>
                <w:rFonts w:asciiTheme="minorEastAsia" w:hAnsiTheme="minorEastAsia" w:eastAsiaTheme="minorEastAsia"/>
                <w:b/>
                <w:sz w:val="24"/>
                <w:szCs w:val="24"/>
              </w:rPr>
            </w:pPr>
            <w:r>
              <w:rPr>
                <w:rStyle w:val="21"/>
                <w:rFonts w:hint="eastAsia" w:asciiTheme="minorEastAsia" w:hAnsiTheme="minorEastAsia" w:eastAsiaTheme="minorEastAsia"/>
                <w:b/>
                <w:sz w:val="24"/>
                <w:szCs w:val="24"/>
              </w:rPr>
              <w:t>单价</w:t>
            </w:r>
          </w:p>
        </w:tc>
        <w:tc>
          <w:tcPr>
            <w:tcW w:w="1001" w:type="dxa"/>
            <w:tcBorders>
              <w:top w:val="single" w:color="000000" w:sz="8" w:space="0"/>
              <w:left w:val="single" w:color="000000" w:sz="8" w:space="0"/>
              <w:bottom w:val="single" w:color="000000" w:sz="8" w:space="0"/>
              <w:right w:val="single" w:color="000000" w:sz="8" w:space="0"/>
            </w:tcBorders>
          </w:tcPr>
          <w:p>
            <w:pPr>
              <w:pStyle w:val="32"/>
              <w:spacing w:line="320" w:lineRule="exact"/>
              <w:jc w:val="center"/>
              <w:rPr>
                <w:rStyle w:val="21"/>
                <w:rFonts w:asciiTheme="minorEastAsia" w:hAnsiTheme="minorEastAsia" w:eastAsiaTheme="minorEastAsia"/>
                <w:b/>
                <w:sz w:val="24"/>
                <w:szCs w:val="24"/>
              </w:rPr>
            </w:pPr>
            <w:r>
              <w:rPr>
                <w:rStyle w:val="21"/>
                <w:rFonts w:hint="eastAsia" w:asciiTheme="minorEastAsia" w:hAnsiTheme="minorEastAsia" w:eastAsiaTheme="minorEastAsia"/>
                <w:b/>
                <w:sz w:val="24"/>
                <w:szCs w:val="24"/>
              </w:rPr>
              <w:t>金额</w:t>
            </w:r>
          </w:p>
        </w:tc>
      </w:tr>
      <w:tr>
        <w:tblPrEx>
          <w:tblCellMar>
            <w:top w:w="0" w:type="dxa"/>
            <w:left w:w="0" w:type="dxa"/>
            <w:bottom w:w="0" w:type="dxa"/>
            <w:right w:w="0" w:type="dxa"/>
          </w:tblCellMar>
        </w:tblPrEx>
        <w:trPr>
          <w:trHeight w:val="537" w:hRule="atLeast"/>
          <w:jc w:val="center"/>
        </w:trPr>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Style w:val="21"/>
                <w:rFonts w:asciiTheme="minorEastAsia" w:hAnsiTheme="minorEastAsia" w:eastAsiaTheme="minorEastAsia"/>
                <w:kern w:val="0"/>
                <w:sz w:val="24"/>
                <w:szCs w:val="24"/>
              </w:rPr>
            </w:pPr>
            <w:r>
              <w:rPr>
                <w:rStyle w:val="21"/>
                <w:rFonts w:asciiTheme="minorEastAsia" w:hAnsiTheme="minorEastAsia" w:eastAsiaTheme="minorEastAsia"/>
                <w:kern w:val="0"/>
                <w:sz w:val="24"/>
                <w:szCs w:val="24"/>
              </w:rPr>
              <w:t>1</w:t>
            </w:r>
          </w:p>
        </w:tc>
        <w:tc>
          <w:tcPr>
            <w:tcW w:w="993" w:type="dxa"/>
            <w:tcBorders>
              <w:top w:val="single" w:color="000000" w:sz="4" w:space="0"/>
              <w:left w:val="single" w:color="000000" w:sz="4" w:space="0"/>
              <w:bottom w:val="single" w:color="000000" w:sz="4" w:space="0"/>
              <w:right w:val="single" w:color="000000" w:sz="4" w:space="0"/>
            </w:tcBorders>
            <w:vAlign w:val="center"/>
          </w:tcPr>
          <w:p>
            <w:pPr>
              <w:jc w:val="left"/>
              <w:rPr>
                <w:rStyle w:val="21"/>
                <w:rFonts w:asciiTheme="minorEastAsia" w:hAnsiTheme="minorEastAsia" w:eastAsiaTheme="minorEastAsia"/>
                <w:kern w:val="0"/>
                <w:sz w:val="24"/>
                <w:szCs w:val="24"/>
              </w:rPr>
            </w:pPr>
            <w:r>
              <w:rPr>
                <w:rFonts w:hint="eastAsia" w:ascii="宋体" w:hAnsi="宋体" w:cs="宋体"/>
                <w:color w:val="000000"/>
                <w:kern w:val="0"/>
                <w:sz w:val="24"/>
                <w:szCs w:val="24"/>
                <w:lang w:bidi="ar"/>
              </w:rPr>
              <w:t>立式液晶显示屏（55寸</w:t>
            </w:r>
            <w:r>
              <w:rPr>
                <w:rFonts w:hint="eastAsia" w:ascii="宋体" w:hAnsi="宋体" w:cs="宋体"/>
                <w:color w:val="000000"/>
                <w:kern w:val="0"/>
                <w:sz w:val="24"/>
                <w:szCs w:val="24"/>
                <w:lang w:val="en-US" w:eastAsia="zh-CN" w:bidi="ar"/>
              </w:rPr>
              <w:t>落地式</w:t>
            </w:r>
            <w:r>
              <w:rPr>
                <w:rFonts w:hint="eastAsia" w:ascii="宋体" w:hAnsi="宋体" w:cs="宋体"/>
                <w:color w:val="000000"/>
                <w:kern w:val="0"/>
                <w:sz w:val="24"/>
                <w:szCs w:val="24"/>
                <w:lang w:bidi="ar"/>
              </w:rPr>
              <w:t>，可联屏）</w:t>
            </w:r>
          </w:p>
        </w:tc>
        <w:tc>
          <w:tcPr>
            <w:tcW w:w="4787" w:type="dxa"/>
            <w:tcBorders>
              <w:top w:val="single" w:color="000000" w:sz="4" w:space="0"/>
              <w:left w:val="single" w:color="000000" w:sz="4" w:space="0"/>
              <w:bottom w:val="single" w:color="000000" w:sz="4" w:space="0"/>
              <w:right w:val="single" w:color="000000" w:sz="4" w:space="0"/>
            </w:tcBorders>
            <w:vAlign w:val="center"/>
          </w:tcPr>
          <w:p>
            <w:pPr>
              <w:spacing w:line="240" w:lineRule="auto"/>
              <w:rPr>
                <w:rFonts w:ascii="宋体" w:hAnsi="宋体" w:eastAsia="宋体"/>
                <w:szCs w:val="24"/>
              </w:rPr>
            </w:pPr>
            <w:r>
              <w:rPr>
                <w:rFonts w:hint="eastAsia" w:ascii="宋体" w:hAnsi="宋体" w:eastAsia="宋体"/>
                <w:szCs w:val="24"/>
              </w:rPr>
              <w:t>CPU不低于：四核 Cortex-17  1.7GHZ；6</w:t>
            </w:r>
            <w:r>
              <w:rPr>
                <w:rFonts w:ascii="宋体" w:hAnsi="宋体" w:eastAsia="宋体"/>
                <w:szCs w:val="24"/>
              </w:rPr>
              <w:t>4</w:t>
            </w:r>
            <w:r>
              <w:rPr>
                <w:rFonts w:hint="eastAsia" w:ascii="宋体" w:hAnsi="宋体" w:eastAsia="宋体"/>
                <w:szCs w:val="24"/>
              </w:rPr>
              <w:t>位</w:t>
            </w:r>
          </w:p>
          <w:p>
            <w:pPr>
              <w:spacing w:line="240" w:lineRule="auto"/>
              <w:rPr>
                <w:rFonts w:ascii="宋体" w:hAnsi="宋体" w:eastAsia="宋体"/>
                <w:szCs w:val="24"/>
              </w:rPr>
            </w:pPr>
            <w:r>
              <w:rPr>
                <w:rFonts w:hint="eastAsia" w:ascii="宋体" w:hAnsi="宋体" w:eastAsia="宋体"/>
                <w:szCs w:val="24"/>
              </w:rPr>
              <w:t>GPU不低于：Mali-760 四核GPU</w:t>
            </w:r>
          </w:p>
          <w:p>
            <w:pPr>
              <w:spacing w:line="240" w:lineRule="auto"/>
              <w:rPr>
                <w:rFonts w:ascii="宋体" w:hAnsi="宋体" w:eastAsia="宋体"/>
                <w:szCs w:val="24"/>
              </w:rPr>
            </w:pPr>
            <w:r>
              <w:rPr>
                <w:rFonts w:hint="eastAsia" w:ascii="宋体" w:hAnsi="宋体" w:eastAsia="宋体"/>
                <w:szCs w:val="24"/>
              </w:rPr>
              <w:t>内存不低于：DDR3 2GB</w:t>
            </w:r>
          </w:p>
          <w:p>
            <w:pPr>
              <w:spacing w:line="240" w:lineRule="auto"/>
              <w:rPr>
                <w:rFonts w:ascii="宋体" w:hAnsi="宋体" w:eastAsia="宋体"/>
                <w:szCs w:val="24"/>
              </w:rPr>
            </w:pPr>
            <w:r>
              <w:rPr>
                <w:rFonts w:hint="eastAsia" w:ascii="宋体" w:hAnsi="宋体" w:eastAsia="宋体"/>
                <w:szCs w:val="24"/>
              </w:rPr>
              <w:t>网卡不低于：100M</w:t>
            </w:r>
          </w:p>
          <w:p>
            <w:pPr>
              <w:spacing w:line="240" w:lineRule="auto"/>
              <w:rPr>
                <w:rFonts w:ascii="宋体" w:hAnsi="宋体" w:eastAsia="宋体"/>
                <w:szCs w:val="24"/>
              </w:rPr>
            </w:pPr>
            <w:r>
              <w:rPr>
                <w:rFonts w:hint="eastAsia" w:ascii="宋体" w:hAnsi="宋体" w:eastAsia="宋体"/>
                <w:szCs w:val="24"/>
              </w:rPr>
              <w:t>显示：LVDS驱动</w:t>
            </w:r>
          </w:p>
          <w:p>
            <w:pPr>
              <w:spacing w:line="240" w:lineRule="auto"/>
              <w:rPr>
                <w:rFonts w:ascii="宋体" w:hAnsi="宋体" w:eastAsia="宋体"/>
                <w:szCs w:val="24"/>
              </w:rPr>
            </w:pPr>
            <w:r>
              <w:rPr>
                <w:rFonts w:hint="eastAsia" w:ascii="宋体" w:hAnsi="宋体" w:eastAsia="宋体"/>
                <w:szCs w:val="24"/>
              </w:rPr>
              <w:t xml:space="preserve">外存不低于：EMMC，8G </w:t>
            </w:r>
          </w:p>
          <w:p>
            <w:pPr>
              <w:spacing w:line="240" w:lineRule="auto"/>
              <w:rPr>
                <w:rFonts w:hint="default" w:ascii="宋体" w:hAnsi="宋体" w:eastAsia="宋体"/>
                <w:szCs w:val="24"/>
                <w:lang w:val="en-US" w:eastAsia="zh-CN"/>
              </w:rPr>
            </w:pPr>
            <w:r>
              <w:rPr>
                <w:rFonts w:hint="eastAsia" w:ascii="宋体" w:hAnsi="宋体" w:eastAsia="宋体"/>
                <w:szCs w:val="24"/>
              </w:rPr>
              <w:t xml:space="preserve">★系统：Android </w:t>
            </w:r>
            <w:r>
              <w:rPr>
                <w:rFonts w:hint="eastAsia" w:ascii="宋体" w:hAnsi="宋体"/>
                <w:szCs w:val="24"/>
                <w:lang w:val="en-US" w:eastAsia="zh-CN"/>
              </w:rPr>
              <w:t>或正版操作系统</w:t>
            </w:r>
          </w:p>
          <w:p>
            <w:pPr>
              <w:spacing w:line="240" w:lineRule="auto"/>
              <w:rPr>
                <w:rFonts w:ascii="宋体" w:hAnsi="宋体" w:eastAsia="宋体"/>
                <w:szCs w:val="24"/>
              </w:rPr>
            </w:pPr>
            <w:r>
              <w:rPr>
                <w:rFonts w:hint="eastAsia" w:ascii="宋体" w:hAnsi="宋体" w:eastAsia="宋体"/>
                <w:szCs w:val="24"/>
              </w:rPr>
              <w:t>时钟：RTC时钟，电子晶振</w:t>
            </w:r>
          </w:p>
          <w:p>
            <w:pPr>
              <w:spacing w:line="240" w:lineRule="auto"/>
              <w:rPr>
                <w:rFonts w:ascii="宋体" w:hAnsi="宋体" w:eastAsia="宋体"/>
                <w:szCs w:val="24"/>
              </w:rPr>
            </w:pPr>
            <w:r>
              <w:rPr>
                <w:rFonts w:hint="eastAsia" w:ascii="宋体" w:hAnsi="宋体" w:eastAsia="宋体"/>
                <w:szCs w:val="24"/>
              </w:rPr>
              <w:t>尺寸：55吋</w:t>
            </w:r>
          </w:p>
          <w:p>
            <w:pPr>
              <w:spacing w:line="240" w:lineRule="auto"/>
              <w:rPr>
                <w:rFonts w:ascii="宋体" w:hAnsi="宋体" w:eastAsia="宋体"/>
                <w:szCs w:val="24"/>
              </w:rPr>
            </w:pPr>
            <w:r>
              <w:rPr>
                <w:rFonts w:hint="eastAsia" w:ascii="宋体" w:hAnsi="宋体" w:eastAsia="宋体"/>
                <w:szCs w:val="24"/>
              </w:rPr>
              <w:t>分辨率不低于：1920*1080</w:t>
            </w:r>
          </w:p>
          <w:p>
            <w:pPr>
              <w:spacing w:line="240" w:lineRule="auto"/>
              <w:rPr>
                <w:rFonts w:ascii="宋体" w:hAnsi="宋体" w:eastAsia="宋体"/>
                <w:szCs w:val="24"/>
              </w:rPr>
            </w:pPr>
            <w:r>
              <w:rPr>
                <w:rFonts w:hint="eastAsia" w:ascii="宋体" w:hAnsi="宋体" w:eastAsia="宋体"/>
                <w:szCs w:val="24"/>
              </w:rPr>
              <w:t>支持视频格式：MPEG1, MPEG2, MPEG4, MPEG4_SD, MPEG4_HD, H.264, RM, RMVB，DivX 1080p HD, DivX 720p HD, MKV, VP6,VP8</w:t>
            </w:r>
          </w:p>
          <w:p>
            <w:pPr>
              <w:spacing w:line="240" w:lineRule="auto"/>
              <w:rPr>
                <w:rFonts w:ascii="宋体" w:hAnsi="宋体" w:eastAsia="宋体"/>
                <w:szCs w:val="24"/>
              </w:rPr>
            </w:pPr>
            <w:r>
              <w:rPr>
                <w:rFonts w:hint="eastAsia" w:ascii="宋体" w:hAnsi="宋体" w:eastAsia="宋体"/>
                <w:szCs w:val="24"/>
              </w:rPr>
              <w:t>支持图片格式：JPEG,PNG, BMP</w:t>
            </w:r>
          </w:p>
          <w:p>
            <w:pPr>
              <w:spacing w:line="240" w:lineRule="auto"/>
              <w:rPr>
                <w:rFonts w:ascii="宋体" w:hAnsi="宋体" w:eastAsia="宋体"/>
                <w:szCs w:val="24"/>
              </w:rPr>
            </w:pPr>
            <w:r>
              <w:rPr>
                <w:rFonts w:hint="eastAsia" w:ascii="宋体" w:hAnsi="宋体" w:eastAsia="宋体"/>
                <w:szCs w:val="24"/>
              </w:rPr>
              <w:t>支持音频格式：MP3, AAC，WMA,OGG</w:t>
            </w:r>
          </w:p>
          <w:p>
            <w:pPr>
              <w:spacing w:line="240" w:lineRule="auto"/>
              <w:rPr>
                <w:rFonts w:ascii="宋体" w:hAnsi="宋体" w:eastAsia="宋体"/>
                <w:szCs w:val="24"/>
              </w:rPr>
            </w:pPr>
            <w:r>
              <w:rPr>
                <w:rFonts w:hint="eastAsia" w:ascii="宋体" w:hAnsi="宋体" w:eastAsia="宋体"/>
                <w:szCs w:val="24"/>
              </w:rPr>
              <w:t xml:space="preserve">存储介质：U盘/SD卡  </w:t>
            </w:r>
          </w:p>
          <w:p>
            <w:pPr>
              <w:spacing w:line="240" w:lineRule="auto"/>
              <w:rPr>
                <w:rFonts w:ascii="宋体" w:hAnsi="宋体" w:eastAsia="宋体"/>
                <w:szCs w:val="24"/>
              </w:rPr>
            </w:pPr>
            <w:r>
              <w:rPr>
                <w:rFonts w:hint="eastAsia" w:ascii="宋体" w:hAnsi="宋体" w:eastAsia="宋体"/>
                <w:szCs w:val="24"/>
              </w:rPr>
              <w:t>遥控功能：IP配置、显示配置、联网方式配置</w:t>
            </w:r>
          </w:p>
          <w:p>
            <w:pPr>
              <w:spacing w:line="240" w:lineRule="auto"/>
              <w:rPr>
                <w:rFonts w:ascii="宋体" w:hAnsi="宋体" w:eastAsia="宋体"/>
              </w:rPr>
            </w:pPr>
            <w:r>
              <w:rPr>
                <w:rFonts w:hint="eastAsia" w:ascii="宋体" w:hAnsi="宋体" w:eastAsia="宋体"/>
              </w:rPr>
              <w:t>通信接口：RJ45*</w:t>
            </w:r>
            <w:r>
              <w:rPr>
                <w:rFonts w:ascii="宋体" w:hAnsi="宋体" w:eastAsia="宋体"/>
              </w:rPr>
              <w:t>1</w:t>
            </w:r>
          </w:p>
          <w:p>
            <w:pPr>
              <w:spacing w:line="240" w:lineRule="auto"/>
              <w:rPr>
                <w:rFonts w:ascii="宋体" w:hAnsi="宋体" w:eastAsia="宋体"/>
              </w:rPr>
            </w:pPr>
            <w:r>
              <w:rPr>
                <w:rFonts w:hint="eastAsia" w:ascii="宋体" w:hAnsi="宋体" w:eastAsia="宋体"/>
              </w:rPr>
              <w:t>视频接口：HDMI</w:t>
            </w:r>
            <w:r>
              <w:rPr>
                <w:rFonts w:ascii="宋体" w:hAnsi="宋体" w:eastAsia="宋体"/>
              </w:rPr>
              <w:t xml:space="preserve"> in</w:t>
            </w:r>
            <w:r>
              <w:rPr>
                <w:rFonts w:hint="eastAsia" w:ascii="宋体" w:hAnsi="宋体" w:eastAsia="宋体"/>
              </w:rPr>
              <w:t>*1</w:t>
            </w:r>
          </w:p>
          <w:p>
            <w:pPr>
              <w:spacing w:line="240" w:lineRule="auto"/>
              <w:rPr>
                <w:rFonts w:ascii="宋体" w:hAnsi="宋体" w:eastAsia="宋体"/>
              </w:rPr>
            </w:pPr>
            <w:r>
              <w:rPr>
                <w:rFonts w:hint="eastAsia" w:ascii="宋体" w:hAnsi="宋体" w:eastAsia="宋体"/>
              </w:rPr>
              <w:t>音频接口：</w:t>
            </w:r>
            <w:r>
              <w:rPr>
                <w:rFonts w:ascii="宋体" w:hAnsi="宋体" w:eastAsia="宋体"/>
              </w:rPr>
              <w:t>LINE out</w:t>
            </w:r>
            <w:r>
              <w:rPr>
                <w:rFonts w:hint="eastAsia" w:ascii="宋体" w:hAnsi="宋体" w:eastAsia="宋体"/>
              </w:rPr>
              <w:t>*</w:t>
            </w:r>
            <w:r>
              <w:rPr>
                <w:rFonts w:ascii="宋体" w:hAnsi="宋体" w:eastAsia="宋体"/>
              </w:rPr>
              <w:t>1</w:t>
            </w:r>
          </w:p>
          <w:p>
            <w:pPr>
              <w:spacing w:line="240" w:lineRule="auto"/>
              <w:rPr>
                <w:rFonts w:ascii="宋体" w:hAnsi="宋体" w:eastAsia="宋体"/>
              </w:rPr>
            </w:pPr>
            <w:r>
              <w:rPr>
                <w:rFonts w:hint="eastAsia" w:ascii="宋体" w:hAnsi="宋体" w:eastAsia="宋体"/>
              </w:rPr>
              <w:t>数据接口：USB</w:t>
            </w:r>
            <w:r>
              <w:rPr>
                <w:rFonts w:ascii="宋体" w:hAnsi="宋体" w:eastAsia="宋体"/>
              </w:rPr>
              <w:t xml:space="preserve"> 3.0</w:t>
            </w:r>
            <w:r>
              <w:rPr>
                <w:rFonts w:hint="eastAsia" w:ascii="宋体" w:hAnsi="宋体" w:eastAsia="宋体"/>
              </w:rPr>
              <w:t>*2</w:t>
            </w:r>
          </w:p>
          <w:p>
            <w:pPr>
              <w:spacing w:line="240" w:lineRule="auto"/>
              <w:rPr>
                <w:rFonts w:ascii="宋体" w:hAnsi="宋体" w:eastAsia="宋体"/>
                <w:szCs w:val="24"/>
              </w:rPr>
            </w:pPr>
            <w:r>
              <w:rPr>
                <w:rFonts w:hint="eastAsia" w:ascii="宋体" w:hAnsi="宋体" w:eastAsia="宋体"/>
                <w:szCs w:val="24"/>
              </w:rPr>
              <w:t>材质：铝合金前壳、五金后盖</w:t>
            </w:r>
          </w:p>
          <w:p>
            <w:pPr>
              <w:spacing w:line="240" w:lineRule="auto"/>
              <w:rPr>
                <w:rFonts w:ascii="宋体" w:hAnsi="宋体" w:eastAsia="宋体"/>
                <w:szCs w:val="24"/>
              </w:rPr>
            </w:pPr>
            <w:r>
              <w:rPr>
                <w:rFonts w:hint="eastAsia" w:ascii="宋体" w:hAnsi="宋体" w:eastAsia="宋体"/>
                <w:szCs w:val="24"/>
              </w:rPr>
              <w:t>外观：防尘防暴处理</w:t>
            </w:r>
          </w:p>
          <w:p>
            <w:pPr>
              <w:spacing w:line="240" w:lineRule="auto"/>
              <w:rPr>
                <w:rStyle w:val="21"/>
                <w:rFonts w:asciiTheme="minorEastAsia" w:hAnsiTheme="minorEastAsia" w:eastAsiaTheme="minorEastAsia"/>
                <w:sz w:val="24"/>
                <w:szCs w:val="24"/>
              </w:rPr>
            </w:pPr>
            <w:r>
              <w:rPr>
                <w:rFonts w:hint="eastAsia" w:ascii="宋体" w:hAnsi="宋体" w:eastAsia="宋体"/>
                <w:color w:val="FF0000"/>
              </w:rPr>
              <w:t>★</w:t>
            </w:r>
            <w:r>
              <w:rPr>
                <w:rFonts w:hint="eastAsia" w:ascii="宋体" w:hAnsi="宋体" w:eastAsia="宋体"/>
              </w:rPr>
              <w:t>安装：立式机柜，可</w:t>
            </w:r>
            <w:r>
              <w:rPr>
                <w:rFonts w:hint="eastAsia" w:ascii="宋体" w:hAnsi="宋体" w:eastAsia="宋体"/>
                <w:b w:val="0"/>
                <w:bCs w:val="0"/>
              </w:rPr>
              <w:t>联排组</w:t>
            </w:r>
            <w:r>
              <w:rPr>
                <w:rFonts w:hint="eastAsia" w:ascii="宋体" w:hAnsi="宋体" w:eastAsia="宋体"/>
              </w:rPr>
              <w:t>装，也可分组组装</w:t>
            </w:r>
          </w:p>
        </w:tc>
        <w:tc>
          <w:tcPr>
            <w:tcW w:w="669" w:type="dxa"/>
            <w:tcBorders>
              <w:top w:val="single" w:color="000000" w:sz="4" w:space="0"/>
              <w:left w:val="single" w:color="000000" w:sz="4" w:space="0"/>
              <w:bottom w:val="single" w:color="000000" w:sz="4" w:space="0"/>
              <w:right w:val="single" w:color="000000" w:sz="4" w:space="0"/>
            </w:tcBorders>
            <w:vAlign w:val="center"/>
          </w:tcPr>
          <w:p>
            <w:pPr>
              <w:jc w:val="center"/>
              <w:rPr>
                <w:rStyle w:val="21"/>
                <w:rFonts w:hint="default" w:asciiTheme="minorEastAsia" w:hAnsiTheme="minorEastAsia" w:eastAsiaTheme="minorEastAsia"/>
                <w:kern w:val="0"/>
                <w:sz w:val="24"/>
                <w:szCs w:val="24"/>
                <w:lang w:val="en-US" w:eastAsia="zh-CN"/>
              </w:rPr>
            </w:pPr>
            <w:r>
              <w:rPr>
                <w:rStyle w:val="21"/>
                <w:rFonts w:hint="eastAsia" w:asciiTheme="minorEastAsia" w:hAnsiTheme="minorEastAsia" w:eastAsiaTheme="minorEastAsia"/>
                <w:kern w:val="0"/>
                <w:sz w:val="24"/>
                <w:szCs w:val="24"/>
                <w:lang w:val="en-US" w:eastAsia="zh-CN"/>
              </w:rPr>
              <w:t>10台</w:t>
            </w:r>
          </w:p>
        </w:tc>
        <w:tc>
          <w:tcPr>
            <w:tcW w:w="87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21"/>
                <w:rFonts w:asciiTheme="minorEastAsia" w:hAnsiTheme="minorEastAsia" w:eastAsiaTheme="minorEastAsia"/>
                <w:kern w:val="0"/>
                <w:sz w:val="24"/>
                <w:szCs w:val="24"/>
              </w:rPr>
            </w:pPr>
            <w:r>
              <w:rPr>
                <w:rFonts w:hint="eastAsia" w:ascii="宋体" w:hAnsi="宋体" w:cs="宋体"/>
                <w:color w:val="000000"/>
                <w:kern w:val="0"/>
                <w:sz w:val="24"/>
                <w:szCs w:val="24"/>
                <w:lang w:bidi="ar"/>
              </w:rPr>
              <w:t>9,800</w:t>
            </w:r>
          </w:p>
        </w:tc>
        <w:tc>
          <w:tcPr>
            <w:tcW w:w="10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21"/>
                <w:rFonts w:asciiTheme="minorEastAsia" w:hAnsiTheme="minorEastAsia" w:eastAsiaTheme="minorEastAsia"/>
                <w:kern w:val="0"/>
                <w:sz w:val="24"/>
                <w:szCs w:val="24"/>
              </w:rPr>
            </w:pPr>
            <w:r>
              <w:rPr>
                <w:rFonts w:hint="eastAsia" w:ascii="宋体" w:hAnsi="宋体" w:cs="宋体"/>
                <w:color w:val="000000"/>
                <w:kern w:val="0"/>
                <w:sz w:val="24"/>
                <w:szCs w:val="24"/>
                <w:lang w:bidi="ar"/>
              </w:rPr>
              <w:t>98,000</w:t>
            </w:r>
          </w:p>
        </w:tc>
      </w:tr>
      <w:tr>
        <w:tblPrEx>
          <w:tblCellMar>
            <w:top w:w="0" w:type="dxa"/>
            <w:left w:w="0" w:type="dxa"/>
            <w:bottom w:w="0" w:type="dxa"/>
            <w:right w:w="0" w:type="dxa"/>
          </w:tblCellMar>
        </w:tblPrEx>
        <w:trPr>
          <w:trHeight w:val="759" w:hRule="atLeast"/>
          <w:jc w:val="center"/>
        </w:trPr>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Style w:val="21"/>
                <w:rFonts w:cs="Times New Roman" w:asciiTheme="minorEastAsia" w:hAnsiTheme="minorEastAsia" w:eastAsiaTheme="minorEastAsia"/>
                <w:kern w:val="0"/>
                <w:sz w:val="24"/>
                <w:szCs w:val="24"/>
              </w:rPr>
            </w:pPr>
            <w:r>
              <w:rPr>
                <w:rStyle w:val="21"/>
                <w:rFonts w:hint="eastAsia" w:cs="Times New Roman" w:asciiTheme="minorEastAsia" w:hAnsiTheme="minorEastAsia" w:eastAsiaTheme="minorEastAsia"/>
                <w:kern w:val="0"/>
                <w:sz w:val="24"/>
                <w:szCs w:val="24"/>
              </w:rPr>
              <w:t>2</w:t>
            </w:r>
          </w:p>
        </w:tc>
        <w:tc>
          <w:tcPr>
            <w:tcW w:w="993" w:type="dxa"/>
            <w:tcBorders>
              <w:top w:val="single" w:color="000000" w:sz="4" w:space="0"/>
              <w:left w:val="single" w:color="000000" w:sz="4" w:space="0"/>
              <w:bottom w:val="single" w:color="000000" w:sz="4" w:space="0"/>
              <w:right w:val="single" w:color="000000" w:sz="4" w:space="0"/>
            </w:tcBorders>
            <w:vAlign w:val="center"/>
          </w:tcPr>
          <w:p>
            <w:pPr>
              <w:jc w:val="center"/>
              <w:rPr>
                <w:rStyle w:val="21"/>
                <w:rFonts w:cs="Times New Roman" w:asciiTheme="minorEastAsia" w:hAnsiTheme="minorEastAsia" w:eastAsiaTheme="minorEastAsia"/>
                <w:kern w:val="0"/>
                <w:sz w:val="24"/>
                <w:szCs w:val="24"/>
              </w:rPr>
            </w:pPr>
            <w:r>
              <w:rPr>
                <w:rStyle w:val="21"/>
                <w:rFonts w:hint="eastAsia" w:cs="Times New Roman" w:asciiTheme="minorEastAsia" w:hAnsiTheme="minorEastAsia" w:eastAsiaTheme="minorEastAsia"/>
                <w:kern w:val="0"/>
                <w:sz w:val="24"/>
                <w:szCs w:val="24"/>
              </w:rPr>
              <w:t>专家排班、信息发布数据接口平台软件</w:t>
            </w:r>
          </w:p>
        </w:tc>
        <w:tc>
          <w:tcPr>
            <w:tcW w:w="478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3"/>
              </w:numPr>
              <w:spacing w:line="240" w:lineRule="auto"/>
              <w:jc w:val="left"/>
              <w:rPr>
                <w:rFonts w:ascii="宋体" w:hAnsi="宋体" w:eastAsia="宋体"/>
              </w:rPr>
            </w:pPr>
            <w:r>
              <w:rPr>
                <w:rFonts w:ascii="宋体" w:hAnsi="宋体" w:eastAsia="宋体"/>
              </w:rPr>
              <w:t>系统须支持不同</w:t>
            </w:r>
            <w:r>
              <w:rPr>
                <w:rFonts w:hint="eastAsia" w:ascii="宋体" w:hAnsi="宋体" w:eastAsia="宋体"/>
              </w:rPr>
              <w:t>显示屏幕</w:t>
            </w:r>
            <w:r>
              <w:rPr>
                <w:rFonts w:ascii="宋体" w:hAnsi="宋体" w:eastAsia="宋体"/>
              </w:rPr>
              <w:t>显示不同页面内容的功能。满足医院不同</w:t>
            </w:r>
            <w:r>
              <w:rPr>
                <w:rFonts w:hint="eastAsia" w:ascii="宋体" w:hAnsi="宋体"/>
                <w:lang w:val="en-US" w:eastAsia="zh-CN"/>
              </w:rPr>
              <w:t>楼层或</w:t>
            </w:r>
            <w:r>
              <w:rPr>
                <w:rFonts w:ascii="宋体" w:hAnsi="宋体" w:eastAsia="宋体"/>
              </w:rPr>
              <w:t>科室显示不同的</w:t>
            </w:r>
            <w:r>
              <w:rPr>
                <w:rFonts w:hint="eastAsia" w:ascii="宋体" w:hAnsi="宋体" w:eastAsia="宋体"/>
              </w:rPr>
              <w:t>排班</w:t>
            </w:r>
            <w:r>
              <w:rPr>
                <w:rFonts w:ascii="宋体" w:hAnsi="宋体" w:eastAsia="宋体"/>
              </w:rPr>
              <w:t>内容的需求。</w:t>
            </w:r>
          </w:p>
          <w:p>
            <w:pPr>
              <w:widowControl/>
              <w:numPr>
                <w:ilvl w:val="0"/>
                <w:numId w:val="3"/>
              </w:numPr>
              <w:spacing w:line="240" w:lineRule="auto"/>
              <w:jc w:val="left"/>
              <w:rPr>
                <w:rFonts w:ascii="宋体" w:hAnsi="宋体" w:eastAsia="宋体"/>
              </w:rPr>
            </w:pPr>
            <w:r>
              <w:rPr>
                <w:rFonts w:hint="eastAsia" w:ascii="宋体" w:hAnsi="宋体" w:eastAsia="宋体"/>
              </w:rPr>
              <w:t>系统须具有多级权限管理，各个科室可自行维护本科信息。</w:t>
            </w:r>
          </w:p>
          <w:p>
            <w:pPr>
              <w:widowControl/>
              <w:numPr>
                <w:ilvl w:val="0"/>
                <w:numId w:val="3"/>
              </w:numPr>
              <w:spacing w:line="240" w:lineRule="auto"/>
              <w:jc w:val="left"/>
              <w:rPr>
                <w:rFonts w:ascii="宋体" w:hAnsi="宋体" w:eastAsia="宋体"/>
              </w:rPr>
            </w:pPr>
            <w:r>
              <w:rPr>
                <w:rFonts w:ascii="宋体" w:hAnsi="宋体" w:eastAsia="宋体"/>
              </w:rPr>
              <w:t>系统可自由的更改</w:t>
            </w:r>
            <w:r>
              <w:rPr>
                <w:rFonts w:hint="eastAsia" w:ascii="宋体" w:hAnsi="宋体" w:eastAsia="宋体"/>
              </w:rPr>
              <w:t>显示样式和</w:t>
            </w:r>
            <w:r>
              <w:rPr>
                <w:rFonts w:ascii="宋体" w:hAnsi="宋体" w:eastAsia="宋体"/>
              </w:rPr>
              <w:t>内容，更改完成之后可以随时更新到</w:t>
            </w:r>
            <w:r>
              <w:rPr>
                <w:rFonts w:hint="eastAsia" w:ascii="宋体" w:hAnsi="宋体" w:eastAsia="宋体"/>
              </w:rPr>
              <w:t>指定显示屏上</w:t>
            </w:r>
            <w:r>
              <w:rPr>
                <w:rFonts w:ascii="宋体" w:hAnsi="宋体" w:eastAsia="宋体"/>
              </w:rPr>
              <w:t>，同时不会影响其他</w:t>
            </w:r>
            <w:r>
              <w:rPr>
                <w:rFonts w:hint="eastAsia" w:ascii="宋体" w:hAnsi="宋体" w:eastAsia="宋体"/>
              </w:rPr>
              <w:t>显示屏</w:t>
            </w:r>
            <w:r>
              <w:rPr>
                <w:rFonts w:ascii="宋体" w:hAnsi="宋体" w:eastAsia="宋体"/>
              </w:rPr>
              <w:t>的正常使用。</w:t>
            </w:r>
          </w:p>
          <w:p>
            <w:pPr>
              <w:widowControl/>
              <w:numPr>
                <w:ilvl w:val="0"/>
                <w:numId w:val="3"/>
              </w:numPr>
              <w:spacing w:line="240" w:lineRule="auto"/>
              <w:jc w:val="left"/>
              <w:rPr>
                <w:rFonts w:ascii="宋体" w:hAnsi="宋体" w:eastAsia="宋体"/>
              </w:rPr>
            </w:pPr>
            <w:r>
              <w:rPr>
                <w:rFonts w:hint="eastAsia" w:ascii="宋体" w:hAnsi="宋体" w:eastAsia="宋体"/>
              </w:rPr>
              <w:t>考虑到</w:t>
            </w:r>
            <w:r>
              <w:rPr>
                <w:rFonts w:hint="eastAsia" w:ascii="宋体" w:hAnsi="宋体"/>
                <w:lang w:val="en-US" w:eastAsia="zh-CN"/>
              </w:rPr>
              <w:t>门诊各楼层或</w:t>
            </w:r>
            <w:r>
              <w:rPr>
                <w:rFonts w:hint="eastAsia" w:ascii="宋体" w:hAnsi="宋体" w:eastAsia="宋体"/>
              </w:rPr>
              <w:t>科自行维护</w:t>
            </w:r>
            <w:r>
              <w:rPr>
                <w:rFonts w:hint="eastAsia" w:ascii="宋体" w:hAnsi="宋体"/>
                <w:lang w:val="en-US" w:eastAsia="zh-CN"/>
              </w:rPr>
              <w:t>的便捷性</w:t>
            </w:r>
            <w:r>
              <w:rPr>
                <w:rFonts w:hint="eastAsia" w:ascii="宋体" w:hAnsi="宋体" w:eastAsia="宋体"/>
              </w:rPr>
              <w:t>，</w:t>
            </w:r>
            <w:r>
              <w:rPr>
                <w:rFonts w:ascii="宋体" w:hAnsi="宋体" w:eastAsia="宋体"/>
              </w:rPr>
              <w:t>系统</w:t>
            </w:r>
            <w:r>
              <w:rPr>
                <w:rFonts w:hint="eastAsia" w:ascii="宋体" w:hAnsi="宋体" w:eastAsia="宋体"/>
              </w:rPr>
              <w:t>要求</w:t>
            </w:r>
            <w:r>
              <w:rPr>
                <w:rFonts w:ascii="宋体" w:hAnsi="宋体" w:eastAsia="宋体"/>
              </w:rPr>
              <w:t>操作过程简单快捷，页面结构清晰，使操作者无论在什么地方都能很明确的知道下一步该如何操作。所有配置修改的效果可以直观的看到。</w:t>
            </w:r>
          </w:p>
          <w:p>
            <w:pPr>
              <w:widowControl/>
              <w:numPr>
                <w:ilvl w:val="0"/>
                <w:numId w:val="3"/>
              </w:numPr>
              <w:spacing w:line="240" w:lineRule="auto"/>
              <w:jc w:val="left"/>
              <w:rPr>
                <w:rFonts w:ascii="宋体" w:hAnsi="宋体" w:eastAsia="宋体"/>
              </w:rPr>
            </w:pPr>
            <w:r>
              <w:rPr>
                <w:rFonts w:hint="eastAsia" w:ascii="宋体" w:hAnsi="宋体" w:eastAsia="宋体"/>
              </w:rPr>
              <w:t>★</w:t>
            </w:r>
            <w:r>
              <w:rPr>
                <w:rFonts w:ascii="宋体" w:hAnsi="宋体" w:eastAsia="宋体"/>
              </w:rPr>
              <w:t>界面可以完全根据</w:t>
            </w:r>
            <w:r>
              <w:rPr>
                <w:rFonts w:hint="eastAsia" w:ascii="宋体" w:hAnsi="宋体"/>
                <w:lang w:val="en-US" w:eastAsia="zh-CN"/>
              </w:rPr>
              <w:t>我</w:t>
            </w:r>
            <w:r>
              <w:rPr>
                <w:rFonts w:ascii="宋体" w:hAnsi="宋体" w:eastAsia="宋体"/>
              </w:rPr>
              <w:t>院的需求进行定制开发，根据我院提供的接口进行数据显示。</w:t>
            </w:r>
          </w:p>
          <w:p>
            <w:pPr>
              <w:widowControl/>
              <w:numPr>
                <w:ilvl w:val="0"/>
                <w:numId w:val="3"/>
              </w:numPr>
              <w:spacing w:line="240" w:lineRule="auto"/>
              <w:jc w:val="left"/>
              <w:rPr>
                <w:rFonts w:ascii="宋体" w:hAnsi="宋体" w:eastAsia="宋体"/>
              </w:rPr>
            </w:pPr>
            <w:r>
              <w:rPr>
                <w:rFonts w:hint="eastAsia" w:ascii="宋体" w:hAnsi="宋体" w:eastAsia="宋体"/>
              </w:rPr>
              <w:t>系统需支持按上午、下午、天、周等时间段进行排班的显示，要求设置灵活。</w:t>
            </w:r>
          </w:p>
          <w:p>
            <w:pPr>
              <w:widowControl/>
              <w:numPr>
                <w:ilvl w:val="0"/>
                <w:numId w:val="3"/>
              </w:numPr>
              <w:spacing w:line="240" w:lineRule="auto"/>
              <w:jc w:val="left"/>
              <w:rPr>
                <w:rFonts w:ascii="宋体" w:hAnsi="宋体" w:eastAsia="宋体"/>
              </w:rPr>
            </w:pPr>
            <w:r>
              <w:rPr>
                <w:rFonts w:ascii="宋体" w:hAnsi="宋体" w:eastAsia="宋体"/>
              </w:rPr>
              <w:t>★系统定时同步HIS相关数据，确保每日专家排班信息数据是实时更新后的数据，显示出内容至少包括：科室名称、专家姓名、专家职称、出诊时间（日期、上午、下午）、费别、号量等。</w:t>
            </w:r>
          </w:p>
          <w:p>
            <w:pPr>
              <w:widowControl/>
              <w:numPr>
                <w:ilvl w:val="0"/>
                <w:numId w:val="3"/>
              </w:numPr>
              <w:spacing w:line="240" w:lineRule="auto"/>
              <w:jc w:val="left"/>
              <w:rPr>
                <w:rFonts w:cs="宋体" w:asciiTheme="minorEastAsia" w:hAnsiTheme="minorEastAsia" w:eastAsiaTheme="minorEastAsia"/>
                <w:sz w:val="24"/>
                <w:szCs w:val="24"/>
              </w:rPr>
            </w:pPr>
            <w:r>
              <w:rPr>
                <w:rFonts w:hint="eastAsia" w:ascii="宋体" w:hAnsi="宋体" w:eastAsia="宋体" w:cs="宋体"/>
                <w:szCs w:val="24"/>
              </w:rPr>
              <w:t>投标人需提供投标产品生产厂家盖章的医生排班管理系统软件的软件著作权证书复印件。</w:t>
            </w:r>
          </w:p>
        </w:tc>
        <w:tc>
          <w:tcPr>
            <w:tcW w:w="669" w:type="dxa"/>
            <w:tcBorders>
              <w:top w:val="single" w:color="000000" w:sz="4" w:space="0"/>
              <w:left w:val="single" w:color="000000" w:sz="4" w:space="0"/>
              <w:bottom w:val="single" w:color="000000" w:sz="4" w:space="0"/>
              <w:right w:val="single" w:color="000000" w:sz="4" w:space="0"/>
            </w:tcBorders>
            <w:vAlign w:val="center"/>
          </w:tcPr>
          <w:p>
            <w:pPr>
              <w:jc w:val="center"/>
              <w:rPr>
                <w:rStyle w:val="21"/>
                <w:rFonts w:hint="default" w:asciiTheme="minorEastAsia" w:hAnsiTheme="minorEastAsia" w:eastAsiaTheme="minorEastAsia"/>
                <w:kern w:val="0"/>
                <w:sz w:val="24"/>
                <w:szCs w:val="24"/>
                <w:lang w:val="en-US" w:eastAsia="zh-CN"/>
              </w:rPr>
            </w:pPr>
            <w:r>
              <w:rPr>
                <w:rStyle w:val="21"/>
                <w:rFonts w:hint="eastAsia" w:asciiTheme="minorEastAsia" w:hAnsiTheme="minorEastAsia" w:eastAsiaTheme="minorEastAsia"/>
                <w:kern w:val="0"/>
                <w:sz w:val="24"/>
                <w:szCs w:val="24"/>
                <w:lang w:val="en-US" w:eastAsia="zh-CN"/>
              </w:rPr>
              <w:t>1套</w:t>
            </w:r>
          </w:p>
        </w:tc>
        <w:tc>
          <w:tcPr>
            <w:tcW w:w="87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21"/>
                <w:rFonts w:asciiTheme="minorEastAsia" w:hAnsiTheme="minorEastAsia" w:eastAsiaTheme="minorEastAsia"/>
                <w:kern w:val="0"/>
                <w:sz w:val="24"/>
                <w:szCs w:val="24"/>
              </w:rPr>
            </w:pPr>
            <w:r>
              <w:rPr>
                <w:rFonts w:hint="eastAsia" w:ascii="宋体" w:hAnsi="宋体" w:cs="宋体"/>
                <w:color w:val="000000"/>
                <w:kern w:val="0"/>
                <w:sz w:val="24"/>
                <w:szCs w:val="24"/>
                <w:lang w:bidi="ar"/>
              </w:rPr>
              <w:t>48,000</w:t>
            </w:r>
          </w:p>
        </w:tc>
        <w:tc>
          <w:tcPr>
            <w:tcW w:w="10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21"/>
                <w:rFonts w:asciiTheme="minorEastAsia" w:hAnsiTheme="minorEastAsia" w:eastAsiaTheme="minorEastAsia"/>
                <w:kern w:val="0"/>
                <w:sz w:val="24"/>
                <w:szCs w:val="24"/>
              </w:rPr>
            </w:pPr>
            <w:r>
              <w:rPr>
                <w:rFonts w:hint="eastAsia" w:ascii="宋体" w:hAnsi="宋体" w:cs="宋体"/>
                <w:color w:val="000000"/>
                <w:kern w:val="0"/>
                <w:sz w:val="24"/>
                <w:szCs w:val="24"/>
                <w:lang w:bidi="ar"/>
              </w:rPr>
              <w:t>48,000</w:t>
            </w:r>
          </w:p>
        </w:tc>
      </w:tr>
      <w:tr>
        <w:tblPrEx>
          <w:tblCellMar>
            <w:top w:w="0" w:type="dxa"/>
            <w:left w:w="0" w:type="dxa"/>
            <w:bottom w:w="0" w:type="dxa"/>
            <w:right w:w="0" w:type="dxa"/>
          </w:tblCellMar>
        </w:tblPrEx>
        <w:trPr>
          <w:trHeight w:val="759" w:hRule="atLeast"/>
          <w:jc w:val="center"/>
        </w:trPr>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Style w:val="21"/>
                <w:rFonts w:cs="Times New Roman" w:asciiTheme="minorEastAsia" w:hAnsiTheme="minorEastAsia" w:eastAsiaTheme="minorEastAsia"/>
                <w:kern w:val="0"/>
                <w:sz w:val="24"/>
                <w:szCs w:val="24"/>
              </w:rPr>
            </w:pPr>
            <w:r>
              <w:rPr>
                <w:rStyle w:val="21"/>
                <w:rFonts w:hint="eastAsia" w:cs="Times New Roman" w:asciiTheme="minorEastAsia" w:hAnsiTheme="minorEastAsia" w:eastAsiaTheme="minorEastAsia"/>
                <w:kern w:val="0"/>
                <w:sz w:val="24"/>
                <w:szCs w:val="24"/>
              </w:rPr>
              <w:t>3</w:t>
            </w:r>
          </w:p>
        </w:tc>
        <w:tc>
          <w:tcPr>
            <w:tcW w:w="993" w:type="dxa"/>
            <w:tcBorders>
              <w:top w:val="single" w:color="000000" w:sz="4" w:space="0"/>
              <w:left w:val="single" w:color="000000" w:sz="4" w:space="0"/>
              <w:bottom w:val="single" w:color="000000" w:sz="4" w:space="0"/>
              <w:right w:val="single" w:color="000000" w:sz="4" w:space="0"/>
            </w:tcBorders>
            <w:vAlign w:val="center"/>
          </w:tcPr>
          <w:p>
            <w:pPr>
              <w:jc w:val="center"/>
              <w:rPr>
                <w:rStyle w:val="21"/>
                <w:rFonts w:cs="Times New Roman" w:asciiTheme="minorEastAsia" w:hAnsiTheme="minorEastAsia" w:eastAsiaTheme="minorEastAsia"/>
                <w:kern w:val="0"/>
                <w:sz w:val="24"/>
                <w:szCs w:val="24"/>
              </w:rPr>
            </w:pPr>
            <w:r>
              <w:rPr>
                <w:rStyle w:val="21"/>
                <w:rFonts w:hint="eastAsia" w:cs="Times New Roman" w:asciiTheme="minorEastAsia" w:hAnsiTheme="minorEastAsia" w:eastAsiaTheme="minorEastAsia"/>
                <w:kern w:val="0"/>
                <w:sz w:val="24"/>
                <w:szCs w:val="24"/>
              </w:rPr>
              <w:t>终端显示系统模块</w:t>
            </w:r>
          </w:p>
        </w:tc>
        <w:tc>
          <w:tcPr>
            <w:tcW w:w="4787" w:type="dxa"/>
            <w:tcBorders>
              <w:top w:val="single" w:color="000000" w:sz="4" w:space="0"/>
              <w:left w:val="single" w:color="000000" w:sz="4" w:space="0"/>
              <w:bottom w:val="single" w:color="000000" w:sz="4" w:space="0"/>
              <w:right w:val="single" w:color="000000" w:sz="4" w:space="0"/>
            </w:tcBorders>
            <w:vAlign w:val="center"/>
          </w:tcPr>
          <w:p>
            <w:pPr>
              <w:pStyle w:val="38"/>
              <w:widowControl/>
              <w:numPr>
                <w:ilvl w:val="0"/>
                <w:numId w:val="4"/>
              </w:numPr>
              <w:spacing w:line="240" w:lineRule="auto"/>
              <w:ind w:firstLineChars="0"/>
              <w:jc w:val="left"/>
              <w:rPr>
                <w:rFonts w:ascii="宋体" w:hAnsi="宋体" w:eastAsia="宋体"/>
              </w:rPr>
            </w:pPr>
            <w:r>
              <w:rPr>
                <w:rFonts w:hint="eastAsia" w:ascii="宋体" w:hAnsi="宋体" w:eastAsia="宋体"/>
              </w:rPr>
              <w:t>要求各个尺寸一体机或其它规格终端设备上具有终端设备管理软件。</w:t>
            </w:r>
          </w:p>
          <w:p>
            <w:pPr>
              <w:pStyle w:val="38"/>
              <w:widowControl/>
              <w:numPr>
                <w:ilvl w:val="0"/>
                <w:numId w:val="4"/>
              </w:numPr>
              <w:spacing w:line="240" w:lineRule="auto"/>
              <w:ind w:firstLineChars="0"/>
              <w:jc w:val="left"/>
              <w:rPr>
                <w:rFonts w:ascii="宋体" w:hAnsi="宋体" w:eastAsia="宋体"/>
              </w:rPr>
            </w:pPr>
            <w:r>
              <w:rPr>
                <w:rFonts w:hint="eastAsia" w:ascii="宋体" w:hAnsi="宋体" w:eastAsia="宋体"/>
              </w:rPr>
              <w:t>要求系统具备设备安全能力，可防止病毒攻击、防止内容非法下载、防止网络盗链。</w:t>
            </w:r>
          </w:p>
          <w:p>
            <w:pPr>
              <w:pStyle w:val="38"/>
              <w:widowControl/>
              <w:numPr>
                <w:ilvl w:val="0"/>
                <w:numId w:val="4"/>
              </w:numPr>
              <w:spacing w:line="240" w:lineRule="auto"/>
              <w:ind w:firstLineChars="0"/>
              <w:jc w:val="left"/>
              <w:rPr>
                <w:rFonts w:ascii="宋体" w:hAnsi="宋体" w:eastAsia="宋体"/>
              </w:rPr>
            </w:pPr>
            <w:r>
              <w:rPr>
                <w:rFonts w:hint="eastAsia" w:ascii="宋体" w:hAnsi="宋体" w:eastAsia="宋体"/>
              </w:rPr>
              <w:t>要求支持设备自动安全检测，支持自动内核更新等功能。</w:t>
            </w:r>
          </w:p>
          <w:p>
            <w:pPr>
              <w:widowControl/>
              <w:numPr>
                <w:ilvl w:val="0"/>
                <w:numId w:val="4"/>
              </w:numPr>
              <w:spacing w:line="240" w:lineRule="auto"/>
              <w:jc w:val="left"/>
              <w:rPr>
                <w:rFonts w:ascii="宋体" w:hAnsi="宋体" w:eastAsia="宋体"/>
              </w:rPr>
            </w:pPr>
            <w:r>
              <w:rPr>
                <w:rFonts w:hint="eastAsia" w:ascii="宋体" w:hAnsi="宋体" w:eastAsia="宋体" w:cs="宋体"/>
                <w:szCs w:val="24"/>
              </w:rPr>
              <w:t>投标人需提供投标产品生产厂家盖章的终端设备管理系统软件的软件著作权证书复印件。</w:t>
            </w:r>
          </w:p>
          <w:p>
            <w:pPr>
              <w:pStyle w:val="39"/>
              <w:widowControl/>
              <w:numPr>
                <w:ilvl w:val="0"/>
                <w:numId w:val="0"/>
              </w:numPr>
              <w:spacing w:line="240" w:lineRule="auto"/>
              <w:ind w:leftChars="0"/>
              <w:jc w:val="left"/>
              <w:rPr>
                <w:rFonts w:ascii="宋体" w:hAnsi="宋体" w:eastAsia="宋体"/>
                <w:szCs w:val="24"/>
              </w:rPr>
            </w:pPr>
            <w:r>
              <w:rPr>
                <w:rFonts w:hint="eastAsia" w:ascii="宋体" w:hAnsi="宋体" w:cs="宋体"/>
                <w:b/>
                <w:szCs w:val="24"/>
                <w:lang w:val="en-US" w:eastAsia="zh-CN"/>
              </w:rPr>
              <w:t>5）</w:t>
            </w:r>
            <w:r>
              <w:rPr>
                <w:rFonts w:hint="eastAsia" w:ascii="宋体" w:hAnsi="宋体" w:eastAsia="宋体" w:cs="宋体"/>
                <w:b/>
                <w:szCs w:val="24"/>
              </w:rPr>
              <w:t>★</w:t>
            </w:r>
            <w:r>
              <w:rPr>
                <w:rFonts w:hint="eastAsia" w:ascii="宋体" w:hAnsi="宋体" w:eastAsia="宋体" w:cs="宋体"/>
                <w:szCs w:val="24"/>
              </w:rPr>
              <w:t>投标人需提供投标产品生产厂家盖章的</w:t>
            </w:r>
            <w:r>
              <w:rPr>
                <w:rFonts w:hint="eastAsia" w:ascii="宋体" w:hAnsi="宋体" w:cs="宋体"/>
                <w:szCs w:val="24"/>
                <w:lang w:val="en-US" w:eastAsia="zh-CN"/>
              </w:rPr>
              <w:t>原厂</w:t>
            </w:r>
            <w:r>
              <w:rPr>
                <w:rFonts w:hint="eastAsia" w:ascii="宋体" w:hAnsi="宋体" w:eastAsia="宋体" w:cs="宋体"/>
                <w:szCs w:val="24"/>
              </w:rPr>
              <w:t>售后服务承诺函。</w:t>
            </w:r>
          </w:p>
          <w:p>
            <w:pPr>
              <w:spacing w:line="240" w:lineRule="auto"/>
              <w:rPr>
                <w:rFonts w:asciiTheme="minorEastAsia" w:hAnsiTheme="minorEastAsia" w:eastAsiaTheme="minorEastAsia"/>
                <w:color w:val="FF0000"/>
                <w:sz w:val="24"/>
                <w:szCs w:val="24"/>
              </w:rPr>
            </w:pPr>
            <w:r>
              <w:rPr>
                <w:rFonts w:hint="eastAsia" w:ascii="宋体" w:hAnsi="宋体"/>
                <w:lang w:val="en-US" w:eastAsia="zh-CN"/>
              </w:rPr>
              <w:t>6）</w:t>
            </w:r>
            <w:r>
              <w:rPr>
                <w:rFonts w:hint="eastAsia" w:ascii="宋体" w:hAnsi="宋体" w:eastAsia="宋体" w:cs="宋体"/>
                <w:szCs w:val="24"/>
                <w:lang w:val="en-US" w:eastAsia="zh-CN"/>
              </w:rPr>
              <w:t>投标产品生产厂家具有质量管理体系认证证书、环境管理体系认证证书、职业健康安全管理体系认证证书，投标人需提供投标产品生产厂家盖章的证书复印件；</w:t>
            </w:r>
          </w:p>
        </w:tc>
        <w:tc>
          <w:tcPr>
            <w:tcW w:w="669" w:type="dxa"/>
            <w:tcBorders>
              <w:top w:val="single" w:color="000000" w:sz="4" w:space="0"/>
              <w:left w:val="single" w:color="000000" w:sz="4" w:space="0"/>
              <w:bottom w:val="single" w:color="000000" w:sz="4" w:space="0"/>
              <w:right w:val="single" w:color="000000" w:sz="4" w:space="0"/>
            </w:tcBorders>
            <w:vAlign w:val="center"/>
          </w:tcPr>
          <w:p>
            <w:pPr>
              <w:jc w:val="center"/>
              <w:rPr>
                <w:rStyle w:val="21"/>
                <w:rFonts w:hint="default" w:asciiTheme="minorEastAsia" w:hAnsiTheme="minorEastAsia" w:eastAsiaTheme="minorEastAsia"/>
                <w:kern w:val="0"/>
                <w:sz w:val="24"/>
                <w:szCs w:val="24"/>
                <w:lang w:val="en-US" w:eastAsia="zh-CN"/>
              </w:rPr>
            </w:pPr>
            <w:r>
              <w:rPr>
                <w:rStyle w:val="21"/>
                <w:rFonts w:hint="eastAsia" w:asciiTheme="minorEastAsia" w:hAnsiTheme="minorEastAsia" w:eastAsiaTheme="minorEastAsia"/>
                <w:kern w:val="0"/>
                <w:sz w:val="24"/>
                <w:szCs w:val="24"/>
                <w:lang w:val="en-US" w:eastAsia="zh-CN"/>
              </w:rPr>
              <w:t>10套</w:t>
            </w:r>
          </w:p>
        </w:tc>
        <w:tc>
          <w:tcPr>
            <w:tcW w:w="87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21"/>
                <w:rFonts w:asciiTheme="minorEastAsia" w:hAnsiTheme="minorEastAsia" w:eastAsiaTheme="minorEastAsia"/>
                <w:kern w:val="0"/>
                <w:sz w:val="24"/>
                <w:szCs w:val="24"/>
              </w:rPr>
            </w:pPr>
            <w:r>
              <w:rPr>
                <w:rFonts w:hint="eastAsia" w:ascii="宋体" w:hAnsi="宋体" w:cs="宋体"/>
                <w:color w:val="000000"/>
                <w:kern w:val="0"/>
                <w:sz w:val="24"/>
                <w:szCs w:val="24"/>
                <w:lang w:bidi="ar"/>
              </w:rPr>
              <w:t>2,000</w:t>
            </w:r>
          </w:p>
        </w:tc>
        <w:tc>
          <w:tcPr>
            <w:tcW w:w="10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21"/>
                <w:rFonts w:asciiTheme="minorEastAsia" w:hAnsiTheme="minorEastAsia" w:eastAsiaTheme="minorEastAsia"/>
                <w:kern w:val="0"/>
                <w:sz w:val="24"/>
                <w:szCs w:val="24"/>
              </w:rPr>
            </w:pPr>
            <w:r>
              <w:rPr>
                <w:rFonts w:hint="eastAsia" w:ascii="宋体" w:hAnsi="宋体" w:cs="宋体"/>
                <w:color w:val="000000"/>
                <w:kern w:val="0"/>
                <w:sz w:val="24"/>
                <w:szCs w:val="24"/>
                <w:lang w:bidi="ar"/>
              </w:rPr>
              <w:t>20,000</w:t>
            </w:r>
          </w:p>
        </w:tc>
      </w:tr>
      <w:tr>
        <w:tblPrEx>
          <w:tblCellMar>
            <w:top w:w="0" w:type="dxa"/>
            <w:left w:w="0" w:type="dxa"/>
            <w:bottom w:w="0" w:type="dxa"/>
            <w:right w:w="0" w:type="dxa"/>
          </w:tblCellMar>
        </w:tblPrEx>
        <w:trPr>
          <w:trHeight w:val="90" w:hRule="atLeast"/>
          <w:jc w:val="center"/>
        </w:trPr>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Style w:val="21"/>
                <w:rFonts w:asciiTheme="minorEastAsia" w:hAnsiTheme="minorEastAsia" w:eastAsiaTheme="minorEastAsia"/>
                <w:kern w:val="0"/>
                <w:sz w:val="24"/>
                <w:szCs w:val="24"/>
              </w:rPr>
            </w:pPr>
            <w:r>
              <w:rPr>
                <w:rStyle w:val="21"/>
                <w:rFonts w:hint="eastAsia" w:asciiTheme="minorEastAsia" w:hAnsiTheme="minorEastAsia" w:eastAsiaTheme="minorEastAsia"/>
                <w:kern w:val="0"/>
                <w:sz w:val="24"/>
                <w:szCs w:val="24"/>
              </w:rPr>
              <w:t>4</w:t>
            </w:r>
          </w:p>
        </w:tc>
        <w:tc>
          <w:tcPr>
            <w:tcW w:w="993"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widowControl/>
              <w:suppressLineNumbers w:val="0"/>
              <w:ind w:left="0" w:firstLine="0"/>
              <w:jc w:val="center"/>
              <w:rPr>
                <w:rStyle w:val="21"/>
                <w:rFonts w:asciiTheme="minorEastAsia" w:hAnsiTheme="minorEastAsia" w:eastAsiaTheme="minorEastAsia"/>
                <w:sz w:val="24"/>
                <w:szCs w:val="24"/>
              </w:rPr>
            </w:pPr>
            <w:r>
              <w:rPr>
                <w:rFonts w:ascii="undefined" w:hAnsi="undefined" w:eastAsia="undefined" w:cs="undefined"/>
                <w:sz w:val="24"/>
                <w:szCs w:val="24"/>
              </w:rPr>
              <w:t>系统安装与集成费</w:t>
            </w:r>
          </w:p>
        </w:tc>
        <w:tc>
          <w:tcPr>
            <w:tcW w:w="4787"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widowControl/>
              <w:suppressLineNumbers w:val="0"/>
              <w:ind w:left="0" w:firstLine="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包含安装、调试及各类施工所需辅材。</w:t>
            </w:r>
          </w:p>
          <w:p>
            <w:pPr>
              <w:spacing w:after="240"/>
              <w:rPr>
                <w:rFonts w:hint="eastAsia" w:asciiTheme="minorEastAsia" w:hAnsiTheme="minorEastAsia" w:eastAsiaTheme="minorEastAsia"/>
                <w:color w:val="000000" w:themeColor="text1"/>
                <w:sz w:val="24"/>
                <w:szCs w:val="24"/>
                <w:lang w:eastAsia="zh-CN"/>
                <w14:textFill>
                  <w14:solidFill>
                    <w14:schemeClr w14:val="tx1"/>
                  </w14:solidFill>
                </w14:textFill>
              </w:rPr>
            </w:pPr>
          </w:p>
        </w:tc>
        <w:tc>
          <w:tcPr>
            <w:tcW w:w="66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1批</w:t>
            </w:r>
          </w:p>
        </w:tc>
        <w:tc>
          <w:tcPr>
            <w:tcW w:w="873" w:type="dxa"/>
            <w:tcBorders>
              <w:top w:val="single" w:color="000000" w:sz="4" w:space="0"/>
              <w:left w:val="single" w:color="000000" w:sz="4" w:space="0"/>
              <w:bottom w:val="single" w:color="000000" w:sz="4" w:space="0"/>
              <w:right w:val="single" w:color="000000" w:sz="4" w:space="0"/>
            </w:tcBorders>
            <w:vAlign w:val="center"/>
          </w:tcPr>
          <w:p>
            <w:pPr>
              <w:jc w:val="center"/>
              <w:rPr>
                <w:rStyle w:val="21"/>
                <w:rFonts w:hint="eastAsia" w:asciiTheme="minorEastAsia" w:hAnsiTheme="minorEastAsia" w:eastAsiaTheme="minorEastAsia"/>
                <w:kern w:val="0"/>
                <w:sz w:val="24"/>
                <w:szCs w:val="24"/>
                <w:lang w:val="en-US" w:eastAsia="zh-CN"/>
              </w:rPr>
            </w:pPr>
            <w:r>
              <w:rPr>
                <w:rStyle w:val="21"/>
                <w:rFonts w:hint="eastAsia" w:asciiTheme="minorEastAsia" w:hAnsiTheme="minorEastAsia" w:eastAsiaTheme="minorEastAsia"/>
                <w:kern w:val="0"/>
                <w:sz w:val="24"/>
                <w:szCs w:val="24"/>
                <w:lang w:val="en-US" w:eastAsia="zh-CN"/>
              </w:rPr>
              <w:t>0</w:t>
            </w:r>
          </w:p>
        </w:tc>
        <w:tc>
          <w:tcPr>
            <w:tcW w:w="1001" w:type="dxa"/>
            <w:tcBorders>
              <w:top w:val="single" w:color="000000" w:sz="4" w:space="0"/>
              <w:left w:val="single" w:color="000000" w:sz="4" w:space="0"/>
              <w:bottom w:val="single" w:color="000000" w:sz="4" w:space="0"/>
              <w:right w:val="single" w:color="000000" w:sz="4" w:space="0"/>
            </w:tcBorders>
            <w:vAlign w:val="center"/>
          </w:tcPr>
          <w:p>
            <w:pPr>
              <w:jc w:val="center"/>
              <w:rPr>
                <w:rStyle w:val="21"/>
                <w:rFonts w:hint="eastAsia" w:asciiTheme="minorEastAsia" w:hAnsiTheme="minorEastAsia" w:eastAsiaTheme="minorEastAsia"/>
                <w:kern w:val="0"/>
                <w:sz w:val="24"/>
                <w:szCs w:val="24"/>
                <w:lang w:val="en-US" w:eastAsia="zh-CN"/>
              </w:rPr>
            </w:pPr>
            <w:r>
              <w:rPr>
                <w:rStyle w:val="21"/>
                <w:rFonts w:hint="eastAsia" w:asciiTheme="minorEastAsia" w:hAnsiTheme="minorEastAsia" w:eastAsiaTheme="minorEastAsia"/>
                <w:kern w:val="0"/>
                <w:sz w:val="24"/>
                <w:szCs w:val="24"/>
                <w:lang w:val="en-US" w:eastAsia="zh-CN"/>
              </w:rPr>
              <w:t>0</w:t>
            </w:r>
          </w:p>
        </w:tc>
      </w:tr>
      <w:tr>
        <w:tblPrEx>
          <w:tblCellMar>
            <w:top w:w="0" w:type="dxa"/>
            <w:left w:w="0" w:type="dxa"/>
            <w:bottom w:w="0" w:type="dxa"/>
            <w:right w:w="0" w:type="dxa"/>
          </w:tblCellMar>
        </w:tblPrEx>
        <w:trPr>
          <w:trHeight w:val="521" w:hRule="atLeast"/>
          <w:jc w:val="center"/>
        </w:trPr>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Style w:val="21"/>
                <w:rFonts w:asciiTheme="minorEastAsia" w:hAnsiTheme="minorEastAsia" w:eastAsiaTheme="minorEastAsia"/>
                <w:kern w:val="0"/>
                <w:sz w:val="16"/>
                <w:szCs w:val="16"/>
              </w:rPr>
            </w:pPr>
          </w:p>
        </w:tc>
        <w:tc>
          <w:tcPr>
            <w:tcW w:w="993" w:type="dxa"/>
            <w:tcBorders>
              <w:top w:val="single" w:color="000000" w:sz="4" w:space="0"/>
              <w:left w:val="single" w:color="000000" w:sz="4" w:space="0"/>
              <w:bottom w:val="single" w:color="000000" w:sz="4" w:space="0"/>
              <w:right w:val="single" w:color="000000" w:sz="4" w:space="0"/>
            </w:tcBorders>
            <w:vAlign w:val="center"/>
          </w:tcPr>
          <w:p>
            <w:pPr>
              <w:pStyle w:val="32"/>
              <w:spacing w:line="320" w:lineRule="exact"/>
              <w:rPr>
                <w:rStyle w:val="21"/>
                <w:rFonts w:asciiTheme="minorEastAsia" w:hAnsiTheme="minorEastAsia" w:eastAsiaTheme="minorEastAsia"/>
                <w:sz w:val="16"/>
                <w:szCs w:val="16"/>
              </w:rPr>
            </w:pPr>
          </w:p>
        </w:tc>
        <w:tc>
          <w:tcPr>
            <w:tcW w:w="4787" w:type="dxa"/>
            <w:tcBorders>
              <w:top w:val="single" w:color="000000" w:sz="4" w:space="0"/>
              <w:left w:val="single" w:color="000000" w:sz="4" w:space="0"/>
              <w:bottom w:val="single" w:color="000000" w:sz="4" w:space="0"/>
              <w:right w:val="single" w:color="000000" w:sz="4" w:space="0"/>
            </w:tcBorders>
            <w:vAlign w:val="center"/>
          </w:tcPr>
          <w:p>
            <w:pPr>
              <w:pStyle w:val="32"/>
              <w:spacing w:line="320" w:lineRule="exact"/>
              <w:rPr>
                <w:rStyle w:val="21"/>
                <w:rFonts w:asciiTheme="minorEastAsia" w:hAnsiTheme="minorEastAsia" w:eastAsiaTheme="minorEastAsia"/>
                <w:b/>
                <w:bCs/>
                <w:sz w:val="22"/>
                <w:szCs w:val="22"/>
              </w:rPr>
            </w:pPr>
          </w:p>
        </w:tc>
        <w:tc>
          <w:tcPr>
            <w:tcW w:w="669" w:type="dxa"/>
            <w:tcBorders>
              <w:top w:val="single" w:color="000000" w:sz="4" w:space="0"/>
              <w:left w:val="single" w:color="000000" w:sz="4" w:space="0"/>
              <w:bottom w:val="single" w:color="000000" w:sz="4" w:space="0"/>
              <w:right w:val="single" w:color="000000" w:sz="4" w:space="0"/>
            </w:tcBorders>
            <w:vAlign w:val="center"/>
          </w:tcPr>
          <w:p>
            <w:pPr>
              <w:jc w:val="center"/>
              <w:rPr>
                <w:rStyle w:val="21"/>
                <w:rFonts w:asciiTheme="minorEastAsia" w:hAnsiTheme="minorEastAsia" w:eastAsiaTheme="minorEastAsia"/>
                <w:b/>
                <w:bCs/>
                <w:kern w:val="0"/>
                <w:sz w:val="22"/>
              </w:rPr>
            </w:pPr>
          </w:p>
        </w:tc>
        <w:tc>
          <w:tcPr>
            <w:tcW w:w="873" w:type="dxa"/>
            <w:tcBorders>
              <w:top w:val="single" w:color="000000" w:sz="4" w:space="0"/>
              <w:left w:val="single" w:color="000000" w:sz="4" w:space="0"/>
              <w:bottom w:val="single" w:color="000000" w:sz="4" w:space="0"/>
              <w:right w:val="single" w:color="000000" w:sz="4" w:space="0"/>
            </w:tcBorders>
            <w:vAlign w:val="top"/>
          </w:tcPr>
          <w:p>
            <w:pPr>
              <w:jc w:val="center"/>
              <w:rPr>
                <w:rStyle w:val="21"/>
                <w:rFonts w:asciiTheme="minorEastAsia" w:hAnsiTheme="minorEastAsia" w:eastAsiaTheme="minorEastAsia"/>
                <w:b/>
                <w:bCs/>
                <w:kern w:val="0"/>
                <w:sz w:val="22"/>
              </w:rPr>
            </w:pPr>
            <w:r>
              <w:rPr>
                <w:rStyle w:val="21"/>
                <w:rFonts w:hint="eastAsia" w:asciiTheme="minorEastAsia" w:hAnsiTheme="minorEastAsia" w:eastAsiaTheme="minorEastAsia"/>
                <w:b/>
                <w:bCs/>
                <w:kern w:val="0"/>
                <w:sz w:val="22"/>
              </w:rPr>
              <w:t>合计：</w:t>
            </w:r>
          </w:p>
        </w:tc>
        <w:tc>
          <w:tcPr>
            <w:tcW w:w="1001" w:type="dxa"/>
            <w:tcBorders>
              <w:top w:val="single" w:color="000000" w:sz="4" w:space="0"/>
              <w:left w:val="single" w:color="000000" w:sz="4" w:space="0"/>
              <w:bottom w:val="single" w:color="000000" w:sz="4" w:space="0"/>
              <w:right w:val="single" w:color="000000" w:sz="4" w:space="0"/>
            </w:tcBorders>
            <w:vAlign w:val="top"/>
          </w:tcPr>
          <w:p>
            <w:pPr>
              <w:jc w:val="center"/>
              <w:rPr>
                <w:rStyle w:val="21"/>
                <w:rFonts w:hint="default" w:asciiTheme="minorEastAsia" w:hAnsiTheme="minorEastAsia" w:eastAsiaTheme="minorEastAsia"/>
                <w:b/>
                <w:bCs/>
                <w:kern w:val="0"/>
                <w:sz w:val="22"/>
                <w:lang w:val="en-US" w:eastAsia="zh-CN"/>
              </w:rPr>
            </w:pPr>
            <w:r>
              <w:rPr>
                <w:rStyle w:val="21"/>
                <w:rFonts w:hint="eastAsia" w:asciiTheme="minorEastAsia" w:hAnsiTheme="minorEastAsia" w:eastAsiaTheme="minorEastAsia"/>
                <w:b/>
                <w:bCs/>
                <w:kern w:val="0"/>
                <w:sz w:val="22"/>
                <w:lang w:val="en-US" w:eastAsia="zh-CN"/>
              </w:rPr>
              <w:t>166000</w:t>
            </w:r>
          </w:p>
        </w:tc>
      </w:tr>
    </w:tbl>
    <w:p>
      <w:pPr>
        <w:pStyle w:val="18"/>
      </w:pPr>
    </w:p>
    <w:p>
      <w:pPr>
        <w:tabs>
          <w:tab w:val="left" w:pos="315"/>
        </w:tabs>
        <w:spacing w:line="380" w:lineRule="exact"/>
        <w:jc w:val="left"/>
        <w:rPr>
          <w:rFonts w:ascii="宋体" w:hAnsi="宋体" w:cs="宋体"/>
          <w:b/>
          <w:color w:val="FF0000"/>
          <w:sz w:val="24"/>
          <w:szCs w:val="24"/>
        </w:rPr>
      </w:pPr>
      <w:r>
        <w:rPr>
          <w:rFonts w:hint="eastAsia" w:ascii="宋体" w:hAnsi="宋体" w:cs="宋体"/>
          <w:b/>
          <w:color w:val="FF0000"/>
          <w:sz w:val="24"/>
          <w:szCs w:val="24"/>
        </w:rPr>
        <w:t>注：</w:t>
      </w:r>
    </w:p>
    <w:p>
      <w:pPr>
        <w:tabs>
          <w:tab w:val="left" w:pos="315"/>
        </w:tabs>
        <w:spacing w:line="380" w:lineRule="exact"/>
        <w:jc w:val="left"/>
        <w:rPr>
          <w:rFonts w:ascii="宋体" w:hAnsi="宋体" w:cs="宋体"/>
          <w:sz w:val="28"/>
          <w:szCs w:val="28"/>
        </w:rPr>
      </w:pPr>
      <w:r>
        <w:rPr>
          <w:rFonts w:hint="eastAsia" w:ascii="宋体" w:hAnsi="宋体" w:cs="宋体"/>
          <w:b/>
          <w:color w:val="FF0000"/>
          <w:sz w:val="24"/>
          <w:szCs w:val="24"/>
        </w:rPr>
        <w:t>1、如果在技术参数或配置中标明了品牌或产地，则仅供参考，并非指定，投标人可以选用替代的方案，但这种替代整体上要优于或相当于招标文件的相关要求。</w:t>
      </w:r>
    </w:p>
    <w:p>
      <w:pPr>
        <w:tabs>
          <w:tab w:val="left" w:pos="1050"/>
        </w:tabs>
        <w:spacing w:line="380" w:lineRule="exact"/>
        <w:outlineLvl w:val="2"/>
        <w:rPr>
          <w:rFonts w:ascii="宋体" w:hAnsi="宋体" w:cs="宋体"/>
          <w:b/>
          <w:color w:val="FF0000"/>
          <w:sz w:val="24"/>
          <w:szCs w:val="24"/>
        </w:rPr>
      </w:pPr>
      <w:r>
        <w:rPr>
          <w:rFonts w:hint="eastAsia" w:ascii="宋体" w:hAnsi="宋体" w:cs="宋体"/>
          <w:b/>
          <w:color w:val="FF0000"/>
          <w:sz w:val="24"/>
          <w:szCs w:val="24"/>
        </w:rPr>
        <w:t>2、为鼓励不同品牌的充分竞争，如某货物的某技术参数或要求属于个别品牌专有，则该技术参数及要求不具有限制性，投标人可对该参数或要求进行适当调整，并应当在投标文件中说明调整的理由，且该调整须经评委会审核认可。</w:t>
      </w:r>
    </w:p>
    <w:p>
      <w:pPr>
        <w:tabs>
          <w:tab w:val="left" w:pos="1050"/>
        </w:tabs>
        <w:spacing w:line="380" w:lineRule="exact"/>
        <w:outlineLvl w:val="2"/>
        <w:rPr>
          <w:rFonts w:ascii="宋体" w:hAnsi="宋体" w:cs="宋体"/>
          <w:b/>
          <w:color w:val="FF0000"/>
          <w:sz w:val="24"/>
          <w:szCs w:val="24"/>
        </w:rPr>
      </w:pPr>
      <w:r>
        <w:rPr>
          <w:rFonts w:hint="eastAsia" w:ascii="宋体" w:hAnsi="宋体" w:cs="宋体"/>
          <w:b/>
          <w:color w:val="FF0000"/>
          <w:sz w:val="24"/>
          <w:szCs w:val="24"/>
        </w:rPr>
        <w:t>3、所有描述为“支持”的，均表示具备、配置、提供、实现等意思，是要满足技术参数的要求。</w:t>
      </w:r>
    </w:p>
    <w:p>
      <w:pPr>
        <w:tabs>
          <w:tab w:val="left" w:pos="1050"/>
        </w:tabs>
        <w:spacing w:line="380" w:lineRule="exact"/>
        <w:outlineLvl w:val="2"/>
        <w:rPr>
          <w:rFonts w:ascii="宋体" w:hAnsi="宋体" w:cs="宋体"/>
          <w:b/>
          <w:color w:val="FF0000"/>
          <w:sz w:val="24"/>
          <w:szCs w:val="24"/>
        </w:rPr>
      </w:pPr>
      <w:r>
        <w:rPr>
          <w:rFonts w:hint="eastAsia" w:ascii="宋体" w:hAnsi="宋体" w:cs="宋体"/>
          <w:b/>
          <w:color w:val="FF0000"/>
          <w:sz w:val="24"/>
          <w:szCs w:val="24"/>
        </w:rPr>
        <w:t>4、招标文件中用“</w:t>
      </w:r>
      <w:r>
        <w:rPr>
          <w:rFonts w:hint="eastAsia" w:ascii="宋体" w:hAnsi="宋体" w:cs="宋体"/>
          <w:b/>
          <w:color w:val="000000"/>
          <w:sz w:val="24"/>
          <w:szCs w:val="24"/>
        </w:rPr>
        <w:t>★</w:t>
      </w:r>
      <w:r>
        <w:rPr>
          <w:rFonts w:hint="eastAsia" w:ascii="宋体" w:hAnsi="宋体" w:cs="宋体"/>
          <w:b/>
          <w:color w:val="FF0000"/>
          <w:sz w:val="24"/>
          <w:szCs w:val="24"/>
        </w:rPr>
        <w:t>”标注的技术参数为不允许负偏离的实质性要求和条件（如果招标文件中有标注“</w:t>
      </w:r>
      <w:r>
        <w:rPr>
          <w:rFonts w:hint="eastAsia" w:ascii="宋体" w:hAnsi="宋体" w:cs="宋体"/>
          <w:b/>
          <w:color w:val="000000"/>
          <w:sz w:val="24"/>
          <w:szCs w:val="24"/>
        </w:rPr>
        <w:t>★</w:t>
      </w:r>
      <w:r>
        <w:rPr>
          <w:rFonts w:hint="eastAsia" w:ascii="宋体" w:hAnsi="宋体" w:cs="宋体"/>
          <w:b/>
          <w:color w:val="FF0000"/>
          <w:sz w:val="24"/>
          <w:szCs w:val="24"/>
        </w:rPr>
        <w:t>”的技术参数）。</w:t>
      </w:r>
    </w:p>
    <w:p>
      <w:pPr>
        <w:tabs>
          <w:tab w:val="left" w:pos="1050"/>
        </w:tabs>
        <w:spacing w:line="380" w:lineRule="exact"/>
        <w:outlineLvl w:val="2"/>
        <w:rPr>
          <w:rFonts w:ascii="宋体" w:hAnsi="宋体" w:cs="宋体"/>
          <w:b/>
          <w:color w:val="FF0000"/>
          <w:sz w:val="24"/>
          <w:szCs w:val="24"/>
        </w:rPr>
      </w:pPr>
      <w:r>
        <w:rPr>
          <w:rFonts w:hint="eastAsia" w:ascii="宋体" w:hAnsi="宋体" w:cs="宋体"/>
          <w:b/>
          <w:color w:val="FF0000"/>
          <w:sz w:val="24"/>
          <w:szCs w:val="24"/>
        </w:rPr>
        <w:t>5、采购人在发布中标公告时，将依法对中标人所报产品（包括但不仅限于标注“</w:t>
      </w:r>
      <w:r>
        <w:rPr>
          <w:rFonts w:hint="eastAsia" w:ascii="宋体" w:hAnsi="宋体" w:cs="宋体"/>
          <w:b/>
          <w:sz w:val="24"/>
          <w:szCs w:val="24"/>
        </w:rPr>
        <w:t>▲</w:t>
      </w:r>
      <w:r>
        <w:rPr>
          <w:rFonts w:hint="eastAsia" w:ascii="宋体" w:hAnsi="宋体" w:cs="宋体"/>
          <w:b/>
          <w:color w:val="FF0000"/>
          <w:sz w:val="24"/>
          <w:szCs w:val="24"/>
        </w:rPr>
        <w:t>”的产品）的名称、品牌、规格型号、数量、单价等内容进行公告。</w:t>
      </w:r>
    </w:p>
    <w:p>
      <w:pPr>
        <w:spacing w:line="460" w:lineRule="exact"/>
        <w:rPr>
          <w:rFonts w:ascii="宋体" w:hAnsi="宋体"/>
          <w:b/>
          <w:sz w:val="44"/>
          <w:szCs w:val="44"/>
        </w:rPr>
      </w:pPr>
    </w:p>
    <w:p>
      <w:pPr>
        <w:spacing w:line="460" w:lineRule="exact"/>
        <w:rPr>
          <w:rFonts w:ascii="宋体" w:hAnsi="宋体"/>
          <w:b/>
          <w:sz w:val="44"/>
          <w:szCs w:val="44"/>
        </w:rPr>
      </w:pPr>
    </w:p>
    <w:p>
      <w:pPr>
        <w:tabs>
          <w:tab w:val="left" w:pos="1050"/>
        </w:tabs>
        <w:spacing w:line="430" w:lineRule="exact"/>
        <w:ind w:firstLine="3935" w:firstLineChars="1400"/>
        <w:outlineLvl w:val="2"/>
        <w:rPr>
          <w:rFonts w:ascii="宋体" w:hAnsi="宋体" w:cs="宋体"/>
          <w:b/>
          <w:sz w:val="28"/>
          <w:szCs w:val="28"/>
        </w:rPr>
      </w:pPr>
      <w:r>
        <w:rPr>
          <w:rFonts w:hint="eastAsia" w:ascii="宋体" w:hAnsi="宋体" w:cs="宋体"/>
          <w:b/>
          <w:sz w:val="28"/>
          <w:szCs w:val="28"/>
        </w:rPr>
        <w:t>二、商务要求</w:t>
      </w:r>
    </w:p>
    <w:p>
      <w:pPr>
        <w:tabs>
          <w:tab w:val="left" w:pos="1050"/>
        </w:tabs>
        <w:spacing w:line="430" w:lineRule="exact"/>
        <w:jc w:val="center"/>
        <w:outlineLvl w:val="2"/>
        <w:rPr>
          <w:rFonts w:ascii="宋体" w:hAnsi="宋体" w:cs="宋体"/>
          <w:b/>
          <w:sz w:val="28"/>
          <w:szCs w:val="28"/>
          <w:u w:val="single"/>
        </w:rPr>
      </w:pPr>
      <w:r>
        <w:rPr>
          <w:rFonts w:hint="eastAsia" w:ascii="宋体" w:hAnsi="宋体" w:cs="宋体"/>
          <w:b/>
          <w:color w:val="FF0000"/>
          <w:sz w:val="28"/>
          <w:szCs w:val="28"/>
          <w:highlight w:val="yellow"/>
        </w:rPr>
        <w:t>（本项目商务要求为不允许负偏离的实质性要求和条件）</w:t>
      </w:r>
    </w:p>
    <w:p>
      <w:pPr>
        <w:snapToGrid w:val="0"/>
        <w:spacing w:line="430" w:lineRule="exact"/>
        <w:ind w:firstLine="548" w:firstLineChars="196"/>
        <w:rPr>
          <w:rFonts w:ascii="宋体" w:hAnsi="宋体" w:cs="宋体"/>
          <w:b/>
          <w:color w:val="FF0000"/>
          <w:sz w:val="28"/>
          <w:szCs w:val="28"/>
        </w:rPr>
      </w:pPr>
      <w:r>
        <w:rPr>
          <w:rFonts w:hint="eastAsia" w:ascii="宋体" w:hAnsi="宋体" w:cs="宋体"/>
          <w:color w:val="000000"/>
          <w:sz w:val="28"/>
          <w:szCs w:val="28"/>
        </w:rPr>
        <w:t>1、所有货物</w:t>
      </w:r>
      <w:r>
        <w:rPr>
          <w:rFonts w:hint="eastAsia" w:ascii="宋体" w:hAnsi="宋体" w:cs="宋体"/>
          <w:sz w:val="28"/>
          <w:szCs w:val="28"/>
        </w:rPr>
        <w:t>（包括零部件）</w:t>
      </w:r>
      <w:r>
        <w:rPr>
          <w:rFonts w:hint="eastAsia" w:ascii="宋体" w:hAnsi="宋体" w:cs="宋体"/>
          <w:color w:val="000000"/>
          <w:sz w:val="28"/>
          <w:szCs w:val="28"/>
        </w:rPr>
        <w:t>须为全新的、未使用过的原装正品。提交货物</w:t>
      </w:r>
      <w:r>
        <w:rPr>
          <w:rFonts w:hint="eastAsia" w:ascii="宋体" w:hAnsi="宋体" w:cs="宋体"/>
          <w:sz w:val="28"/>
          <w:szCs w:val="28"/>
        </w:rPr>
        <w:t>（含相关服务）</w:t>
      </w:r>
      <w:r>
        <w:rPr>
          <w:rFonts w:hint="eastAsia" w:ascii="宋体" w:hAnsi="宋体" w:cs="宋体"/>
          <w:color w:val="000000"/>
          <w:sz w:val="28"/>
          <w:szCs w:val="28"/>
        </w:rPr>
        <w:t>的技术参数和配置应与招标文件的要求及其投标文件的技术要求偏离表（如果被评委会接受的话）相一致。若招标文件及投标文件中无相应说明，则以国家有关部门最新颁布的相应标准及规范为准。</w:t>
      </w:r>
    </w:p>
    <w:p>
      <w:pPr>
        <w:spacing w:line="430" w:lineRule="exact"/>
        <w:ind w:firstLine="560" w:firstLineChars="200"/>
        <w:rPr>
          <w:rFonts w:ascii="宋体" w:hAnsi="宋体" w:cs="宋体"/>
          <w:color w:val="000000"/>
          <w:sz w:val="28"/>
          <w:szCs w:val="28"/>
        </w:rPr>
      </w:pPr>
      <w:r>
        <w:rPr>
          <w:rFonts w:hint="eastAsia" w:ascii="宋体" w:hAnsi="宋体" w:cs="宋体"/>
          <w:color w:val="000000"/>
          <w:sz w:val="28"/>
          <w:szCs w:val="28"/>
        </w:rPr>
        <w:t>2、技术支持</w:t>
      </w:r>
    </w:p>
    <w:p>
      <w:pPr>
        <w:spacing w:line="430" w:lineRule="exact"/>
        <w:ind w:firstLine="560" w:firstLineChars="200"/>
        <w:rPr>
          <w:rFonts w:ascii="宋体" w:hAnsi="宋体" w:cs="宋体"/>
          <w:color w:val="000000"/>
          <w:sz w:val="28"/>
          <w:szCs w:val="28"/>
        </w:rPr>
      </w:pPr>
      <w:r>
        <w:rPr>
          <w:rFonts w:hint="eastAsia" w:ascii="宋体" w:hAnsi="宋体" w:cs="宋体"/>
          <w:color w:val="000000"/>
          <w:sz w:val="28"/>
          <w:szCs w:val="28"/>
        </w:rPr>
        <w:t>2.1中标人应向采购人提供全方位及时而有效的技术支持和服务。</w:t>
      </w:r>
    </w:p>
    <w:p>
      <w:pPr>
        <w:snapToGrid w:val="0"/>
        <w:spacing w:line="430" w:lineRule="exact"/>
        <w:ind w:firstLine="560" w:firstLineChars="200"/>
        <w:rPr>
          <w:rFonts w:ascii="宋体" w:hAnsi="宋体" w:cs="宋体"/>
          <w:color w:val="000000"/>
          <w:sz w:val="28"/>
          <w:szCs w:val="28"/>
        </w:rPr>
      </w:pPr>
      <w:r>
        <w:rPr>
          <w:rFonts w:hint="eastAsia" w:ascii="宋体" w:hAnsi="宋体" w:cs="宋体"/>
          <w:color w:val="000000"/>
          <w:sz w:val="28"/>
          <w:szCs w:val="28"/>
        </w:rPr>
        <w:t>2.2中标人负责供货、运输并安装调试完毕。</w:t>
      </w:r>
    </w:p>
    <w:p>
      <w:pPr>
        <w:tabs>
          <w:tab w:val="left" w:pos="7545"/>
        </w:tabs>
        <w:spacing w:line="430" w:lineRule="exact"/>
        <w:ind w:firstLine="560" w:firstLineChars="200"/>
        <w:rPr>
          <w:rFonts w:ascii="宋体" w:hAnsi="宋体" w:cs="宋体"/>
          <w:sz w:val="28"/>
          <w:szCs w:val="28"/>
        </w:rPr>
      </w:pPr>
      <w:r>
        <w:rPr>
          <w:rFonts w:hint="eastAsia" w:ascii="宋体" w:hAnsi="宋体" w:cs="宋体"/>
          <w:sz w:val="28"/>
          <w:szCs w:val="28"/>
        </w:rPr>
        <w:t>3、质保及售后服务：</w:t>
      </w:r>
    </w:p>
    <w:p>
      <w:pPr>
        <w:spacing w:line="430" w:lineRule="exact"/>
        <w:ind w:firstLine="562" w:firstLineChars="200"/>
        <w:rPr>
          <w:rFonts w:ascii="宋体" w:hAnsi="宋体" w:cs="宋体"/>
          <w:sz w:val="28"/>
          <w:szCs w:val="28"/>
        </w:rPr>
      </w:pPr>
      <w:r>
        <w:rPr>
          <w:rFonts w:hint="eastAsia" w:ascii="宋体" w:hAnsi="宋体" w:cs="宋体"/>
          <w:b/>
          <w:sz w:val="28"/>
          <w:szCs w:val="28"/>
        </w:rPr>
        <w:t>4.1中标人所有货物须提供至少</w:t>
      </w:r>
      <w:r>
        <w:rPr>
          <w:rFonts w:hint="eastAsia" w:ascii="宋体" w:hAnsi="宋体" w:cs="宋体"/>
          <w:b/>
          <w:color w:val="FF0000"/>
          <w:sz w:val="28"/>
          <w:szCs w:val="28"/>
          <w:u w:val="single"/>
        </w:rPr>
        <w:t>3</w:t>
      </w:r>
      <w:r>
        <w:rPr>
          <w:rFonts w:hint="eastAsia" w:ascii="宋体" w:hAnsi="宋体" w:cs="宋体"/>
          <w:b/>
          <w:color w:val="FF0000"/>
          <w:sz w:val="28"/>
          <w:szCs w:val="28"/>
        </w:rPr>
        <w:t>年</w:t>
      </w:r>
      <w:r>
        <w:rPr>
          <w:rFonts w:hint="eastAsia" w:ascii="宋体" w:hAnsi="宋体" w:cs="宋体"/>
          <w:b/>
          <w:sz w:val="28"/>
          <w:szCs w:val="28"/>
        </w:rPr>
        <w:t>的免费质保服务（自验收合格之日起计算）。</w:t>
      </w:r>
      <w:r>
        <w:rPr>
          <w:rFonts w:hint="eastAsia" w:ascii="宋体" w:hAnsi="宋体" w:cs="宋体"/>
          <w:sz w:val="28"/>
          <w:szCs w:val="28"/>
        </w:rPr>
        <w:t>所</w:t>
      </w:r>
      <w:r>
        <w:rPr>
          <w:rFonts w:hint="eastAsia" w:ascii="宋体" w:hAnsi="宋体" w:cs="宋体"/>
          <w:color w:val="000000"/>
          <w:sz w:val="28"/>
          <w:szCs w:val="28"/>
        </w:rPr>
        <w:t>有质</w:t>
      </w:r>
      <w:r>
        <w:rPr>
          <w:rFonts w:hint="eastAsia" w:ascii="宋体" w:hAnsi="宋体" w:cs="宋体"/>
          <w:sz w:val="28"/>
          <w:szCs w:val="28"/>
        </w:rPr>
        <w:t>保费用均已包含在投标总报价中。免费质保期满后，应提供优先的有偿售后服务及按不高于投标文件中主要配件、易损件清单所报价格供应原厂零配件等。软件终身免费升级、免费使用。</w:t>
      </w:r>
    </w:p>
    <w:p>
      <w:pPr>
        <w:spacing w:line="430" w:lineRule="exact"/>
        <w:ind w:firstLine="560" w:firstLineChars="200"/>
        <w:rPr>
          <w:rFonts w:ascii="宋体" w:hAnsi="宋体" w:cs="宋体"/>
          <w:sz w:val="28"/>
          <w:szCs w:val="28"/>
        </w:rPr>
      </w:pPr>
      <w:r>
        <w:rPr>
          <w:rFonts w:hint="eastAsia" w:ascii="宋体" w:hAnsi="宋体" w:cs="宋体"/>
          <w:sz w:val="28"/>
          <w:szCs w:val="28"/>
        </w:rPr>
        <w:t>4.2中标人须设有维修服务电话，负责解答用户在货物使用中遇到的问题，及时提出解决问题的建议和操作方法。</w:t>
      </w:r>
    </w:p>
    <w:p>
      <w:pPr>
        <w:spacing w:line="430" w:lineRule="exact"/>
        <w:ind w:firstLine="560" w:firstLineChars="200"/>
        <w:rPr>
          <w:rFonts w:ascii="宋体" w:hAnsi="宋体" w:cs="宋体"/>
          <w:sz w:val="28"/>
          <w:szCs w:val="28"/>
        </w:rPr>
      </w:pPr>
      <w:r>
        <w:rPr>
          <w:rFonts w:hint="eastAsia" w:ascii="宋体" w:hAnsi="宋体" w:cs="宋体"/>
          <w:sz w:val="28"/>
          <w:szCs w:val="28"/>
        </w:rPr>
        <w:t>4.3售后服务响应时间：如货物出现质量问题，中标人须</w:t>
      </w:r>
      <w:r>
        <w:rPr>
          <w:rFonts w:hint="eastAsia" w:ascii="宋体" w:hAnsi="宋体" w:cs="宋体"/>
          <w:color w:val="FF0000"/>
          <w:sz w:val="28"/>
          <w:szCs w:val="28"/>
          <w:u w:val="single"/>
        </w:rPr>
        <w:t>1小时内</w:t>
      </w:r>
      <w:r>
        <w:rPr>
          <w:rFonts w:hint="eastAsia" w:ascii="宋体" w:hAnsi="宋体" w:cs="宋体"/>
          <w:sz w:val="28"/>
          <w:szCs w:val="28"/>
        </w:rPr>
        <w:t>响应,电话响应无法解决，中标人必须在接报修电话</w:t>
      </w:r>
      <w:r>
        <w:rPr>
          <w:rFonts w:hint="eastAsia" w:ascii="宋体" w:hAnsi="宋体" w:cs="宋体"/>
          <w:color w:val="FF0000"/>
          <w:sz w:val="28"/>
          <w:szCs w:val="28"/>
          <w:u w:val="single"/>
        </w:rPr>
        <w:t>4小时</w:t>
      </w:r>
      <w:r>
        <w:rPr>
          <w:rFonts w:hint="eastAsia" w:ascii="宋体" w:hAnsi="宋体" w:cs="宋体"/>
          <w:sz w:val="28"/>
          <w:szCs w:val="28"/>
        </w:rPr>
        <w:t>内到达现场,</w:t>
      </w:r>
      <w:r>
        <w:rPr>
          <w:rFonts w:hint="eastAsia" w:ascii="宋体" w:hAnsi="宋体" w:cs="宋体"/>
          <w:color w:val="FF0000"/>
          <w:sz w:val="28"/>
          <w:szCs w:val="28"/>
        </w:rPr>
        <w:t>4</w:t>
      </w:r>
      <w:r>
        <w:rPr>
          <w:rFonts w:hint="eastAsia" w:ascii="宋体" w:hAnsi="宋体" w:cs="宋体"/>
          <w:color w:val="FF0000"/>
          <w:sz w:val="28"/>
          <w:szCs w:val="28"/>
          <w:u w:val="single"/>
        </w:rPr>
        <w:t>小时</w:t>
      </w:r>
      <w:r>
        <w:rPr>
          <w:rFonts w:hint="eastAsia" w:ascii="宋体" w:hAnsi="宋体" w:cs="宋体"/>
          <w:sz w:val="28"/>
          <w:szCs w:val="28"/>
        </w:rPr>
        <w:t>内解决问题。如不能解决的，中标人需免费提供备品备件供采购人使用。免费质保期内如货物出现质量问题，中标人负责免费修复，对于无法修复的情况，中标人负责免费更换。</w:t>
      </w:r>
    </w:p>
    <w:p>
      <w:pPr>
        <w:spacing w:line="430" w:lineRule="exact"/>
        <w:ind w:firstLine="560" w:firstLineChars="200"/>
        <w:rPr>
          <w:rFonts w:ascii="宋体" w:hAnsi="宋体" w:cs="宋体"/>
          <w:sz w:val="28"/>
          <w:szCs w:val="28"/>
        </w:rPr>
      </w:pPr>
      <w:r>
        <w:rPr>
          <w:rFonts w:hint="eastAsia" w:ascii="宋体" w:hAnsi="宋体" w:cs="宋体"/>
          <w:sz w:val="28"/>
          <w:szCs w:val="28"/>
        </w:rPr>
        <w:t>5、培训：</w:t>
      </w:r>
    </w:p>
    <w:p>
      <w:pPr>
        <w:spacing w:line="430" w:lineRule="exact"/>
        <w:ind w:firstLine="560" w:firstLineChars="200"/>
        <w:rPr>
          <w:rFonts w:ascii="宋体" w:hAnsi="宋体" w:cs="宋体"/>
          <w:sz w:val="28"/>
          <w:szCs w:val="28"/>
        </w:rPr>
      </w:pPr>
      <w:r>
        <w:rPr>
          <w:rFonts w:hint="eastAsia" w:ascii="宋体" w:hAnsi="宋体" w:cs="宋体"/>
          <w:sz w:val="28"/>
          <w:szCs w:val="28"/>
        </w:rPr>
        <w:t>5.1中标人应对采购人的操作人员提供现场培训。</w:t>
      </w:r>
    </w:p>
    <w:p>
      <w:pPr>
        <w:spacing w:line="430" w:lineRule="exact"/>
        <w:ind w:firstLine="560" w:firstLineChars="200"/>
        <w:rPr>
          <w:rFonts w:ascii="宋体" w:hAnsi="宋体" w:cs="宋体"/>
          <w:sz w:val="28"/>
          <w:szCs w:val="28"/>
        </w:rPr>
      </w:pPr>
      <w:r>
        <w:rPr>
          <w:rFonts w:hint="eastAsia" w:ascii="宋体" w:hAnsi="宋体" w:cs="宋体"/>
          <w:sz w:val="28"/>
          <w:szCs w:val="28"/>
        </w:rPr>
        <w:t>5.2现场培训能够根据采购人需要，合理安排，使采购人能够全面掌握设备的工作原理，熟练独立操作设备，并能够对设备进行日常维护与保养，简单故障诊断与排除。</w:t>
      </w:r>
    </w:p>
    <w:p>
      <w:pPr>
        <w:spacing w:line="430" w:lineRule="exact"/>
        <w:ind w:firstLine="560" w:firstLineChars="200"/>
        <w:rPr>
          <w:rFonts w:ascii="宋体" w:hAnsi="宋体" w:cs="宋体"/>
          <w:sz w:val="28"/>
          <w:szCs w:val="28"/>
        </w:rPr>
      </w:pPr>
      <w:r>
        <w:rPr>
          <w:rFonts w:hint="eastAsia" w:ascii="宋体" w:hAnsi="宋体" w:cs="宋体"/>
          <w:sz w:val="28"/>
          <w:szCs w:val="28"/>
        </w:rPr>
        <w:t>5.3培训费用包含在总投标价中。</w:t>
      </w:r>
    </w:p>
    <w:p>
      <w:pPr>
        <w:spacing w:line="430" w:lineRule="exact"/>
        <w:ind w:firstLine="562" w:firstLineChars="200"/>
        <w:rPr>
          <w:rFonts w:ascii="宋体" w:hAnsi="宋体" w:cs="宋体"/>
          <w:b/>
          <w:sz w:val="28"/>
          <w:szCs w:val="28"/>
        </w:rPr>
      </w:pPr>
      <w:r>
        <w:rPr>
          <w:rFonts w:hint="eastAsia" w:ascii="宋体" w:hAnsi="宋体" w:cs="宋体"/>
          <w:b/>
          <w:sz w:val="28"/>
          <w:szCs w:val="28"/>
        </w:rPr>
        <w:t>6、供货期：自合同签订之</w:t>
      </w:r>
      <w:r>
        <w:rPr>
          <w:rFonts w:hint="eastAsia" w:ascii="宋体" w:hAnsi="宋体" w:cs="宋体"/>
          <w:b/>
          <w:color w:val="FF0000"/>
          <w:sz w:val="28"/>
          <w:szCs w:val="28"/>
          <w:u w:val="single"/>
        </w:rPr>
        <w:t>1</w:t>
      </w:r>
      <w:r>
        <w:rPr>
          <w:rFonts w:hint="eastAsia" w:ascii="宋体" w:hAnsi="宋体" w:cs="宋体"/>
          <w:b/>
          <w:color w:val="FF0000"/>
          <w:sz w:val="28"/>
          <w:szCs w:val="28"/>
          <w:u w:val="single"/>
          <w:lang w:val="en-US" w:eastAsia="zh-CN"/>
        </w:rPr>
        <w:t>5</w:t>
      </w:r>
      <w:r>
        <w:rPr>
          <w:rFonts w:hint="eastAsia" w:ascii="宋体" w:hAnsi="宋体" w:cs="宋体"/>
          <w:b/>
          <w:color w:val="FF0000"/>
          <w:sz w:val="28"/>
          <w:szCs w:val="28"/>
          <w:u w:val="single"/>
        </w:rPr>
        <w:t>日</w:t>
      </w:r>
      <w:r>
        <w:rPr>
          <w:rFonts w:hint="eastAsia" w:ascii="宋体" w:hAnsi="宋体" w:cs="宋体"/>
          <w:b/>
          <w:sz w:val="28"/>
          <w:szCs w:val="28"/>
        </w:rPr>
        <w:t>内供货并安装调试完毕。</w:t>
      </w:r>
    </w:p>
    <w:p>
      <w:pPr>
        <w:spacing w:line="430" w:lineRule="exact"/>
        <w:ind w:firstLine="560" w:firstLineChars="200"/>
        <w:rPr>
          <w:rFonts w:ascii="宋体" w:hAnsi="宋体" w:cs="宋体"/>
          <w:sz w:val="28"/>
          <w:szCs w:val="28"/>
        </w:rPr>
      </w:pPr>
      <w:r>
        <w:rPr>
          <w:rFonts w:hint="eastAsia" w:ascii="宋体" w:hAnsi="宋体" w:cs="宋体"/>
          <w:sz w:val="28"/>
          <w:szCs w:val="28"/>
        </w:rPr>
        <w:t>7、供货与安装地点：马鞍山市人民医院。</w:t>
      </w:r>
    </w:p>
    <w:p>
      <w:pPr>
        <w:spacing w:line="430" w:lineRule="exact"/>
        <w:ind w:firstLine="560" w:firstLineChars="200"/>
        <w:rPr>
          <w:rFonts w:ascii="宋体" w:hAnsi="宋体" w:cs="宋体"/>
          <w:sz w:val="28"/>
          <w:szCs w:val="28"/>
        </w:rPr>
      </w:pPr>
      <w:r>
        <w:rPr>
          <w:rFonts w:hint="eastAsia" w:ascii="宋体" w:hAnsi="宋体" w:cs="宋体"/>
          <w:sz w:val="28"/>
          <w:szCs w:val="28"/>
        </w:rPr>
        <w:t>8、验收：</w:t>
      </w:r>
    </w:p>
    <w:p>
      <w:pPr>
        <w:spacing w:line="430" w:lineRule="exact"/>
        <w:ind w:firstLine="560" w:firstLineChars="200"/>
        <w:rPr>
          <w:rFonts w:ascii="宋体" w:hAnsi="宋体" w:cs="宋体"/>
          <w:sz w:val="28"/>
          <w:szCs w:val="28"/>
        </w:rPr>
      </w:pPr>
      <w:r>
        <w:rPr>
          <w:rFonts w:hint="eastAsia" w:ascii="宋体" w:hAnsi="宋体" w:cs="宋体"/>
          <w:sz w:val="28"/>
          <w:szCs w:val="28"/>
        </w:rPr>
        <w:t>8.1采购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采购人须约请相关部门和专家参加项目验收。所有需要质检部门进行检测才能使用的设备，投标报价中必须包含首次检测费用。</w:t>
      </w:r>
    </w:p>
    <w:p>
      <w:pPr>
        <w:spacing w:line="430" w:lineRule="exact"/>
        <w:ind w:firstLine="560" w:firstLineChars="200"/>
        <w:rPr>
          <w:rFonts w:ascii="宋体" w:hAnsi="宋体" w:cs="宋体"/>
          <w:sz w:val="28"/>
          <w:szCs w:val="28"/>
        </w:rPr>
      </w:pPr>
      <w:r>
        <w:rPr>
          <w:rFonts w:hint="eastAsia" w:ascii="宋体" w:hAnsi="宋体" w:cs="宋体"/>
          <w:sz w:val="28"/>
          <w:szCs w:val="28"/>
        </w:rPr>
        <w:t>8.2货物在验收时，投标人应提供发票、制造厂家出具的产品合格证书、装箱清单等,涉及进口的货物须提供中国海关进口货物报关单、完税证明及商检证明等材料；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(如产品质量检验报告、国家相关检测机构出具的检验报告等）等文件汇集成册交付采购人和应由中标人提供的必要文件。</w:t>
      </w:r>
    </w:p>
    <w:p>
      <w:pPr>
        <w:spacing w:line="430" w:lineRule="exact"/>
        <w:ind w:firstLine="560" w:firstLineChars="200"/>
        <w:rPr>
          <w:rFonts w:ascii="宋体" w:hAnsi="宋体" w:cs="宋体"/>
          <w:sz w:val="28"/>
          <w:szCs w:val="28"/>
        </w:rPr>
      </w:pPr>
      <w:r>
        <w:rPr>
          <w:rFonts w:hint="eastAsia" w:ascii="宋体" w:hAnsi="宋体" w:cs="宋体"/>
          <w:sz w:val="28"/>
          <w:szCs w:val="28"/>
        </w:rPr>
        <w:t>8.3中标人应根据采购人使用单位的技术要求提供相应的软硬件产品。由中标人所提供的设备部件间的连线和插接件均应视为设备内部器件，包含在相应的设备之中。</w:t>
      </w:r>
    </w:p>
    <w:p>
      <w:pPr>
        <w:spacing w:line="430" w:lineRule="exact"/>
        <w:ind w:firstLine="560" w:firstLineChars="200"/>
        <w:rPr>
          <w:rFonts w:ascii="宋体" w:hAnsi="宋体" w:cs="宋体"/>
          <w:sz w:val="28"/>
          <w:szCs w:val="28"/>
        </w:rPr>
      </w:pPr>
      <w:r>
        <w:rPr>
          <w:rFonts w:hint="eastAsia" w:ascii="宋体" w:hAnsi="宋体" w:cs="宋体"/>
          <w:sz w:val="28"/>
          <w:szCs w:val="28"/>
        </w:rPr>
        <w:t>8.4所有货物安装时若需使用特殊的接头、插座、线缆、线槽、电管、线卡、桥架、线盒、软管、特殊安装工具等备件由中标人提供，费用包含在总投标价中。</w:t>
      </w:r>
    </w:p>
    <w:p>
      <w:pPr>
        <w:spacing w:line="430" w:lineRule="exact"/>
        <w:ind w:firstLine="560" w:firstLineChars="200"/>
        <w:rPr>
          <w:rFonts w:ascii="宋体" w:hAnsi="宋体" w:cs="宋体"/>
          <w:b/>
          <w:sz w:val="28"/>
          <w:szCs w:val="28"/>
        </w:rPr>
      </w:pPr>
      <w:r>
        <w:rPr>
          <w:rFonts w:hint="eastAsia" w:ascii="宋体" w:hAnsi="宋体" w:cs="宋体"/>
          <w:sz w:val="28"/>
          <w:szCs w:val="28"/>
        </w:rPr>
        <w:t>8.5对货物进行全面的验收，对验收中暴露出来的问题，中标人应及时进行整改，最终验收合格后，采购人向中标人签发最终验收证明。</w:t>
      </w:r>
    </w:p>
    <w:p>
      <w:pPr>
        <w:spacing w:line="430" w:lineRule="exact"/>
        <w:ind w:firstLine="560" w:firstLineChars="200"/>
        <w:contextualSpacing/>
        <w:rPr>
          <w:rFonts w:ascii="宋体" w:hAnsi="宋体" w:cs="宋体"/>
          <w:sz w:val="28"/>
          <w:szCs w:val="28"/>
        </w:rPr>
      </w:pPr>
      <w:r>
        <w:rPr>
          <w:rFonts w:hint="eastAsia" w:ascii="宋体" w:hAnsi="宋体" w:cs="宋体"/>
          <w:sz w:val="28"/>
          <w:szCs w:val="28"/>
        </w:rPr>
        <w:t>8.6中标人应向采购人提供安装调试过程中的各种文档资料,以便采购人今后能掌握操作和维护方法。</w:t>
      </w:r>
    </w:p>
    <w:p>
      <w:pPr>
        <w:spacing w:line="430" w:lineRule="exact"/>
        <w:ind w:firstLine="560" w:firstLineChars="200"/>
        <w:contextualSpacing/>
        <w:rPr>
          <w:rFonts w:ascii="宋体" w:hAnsi="宋体" w:cs="宋体"/>
          <w:sz w:val="28"/>
          <w:szCs w:val="28"/>
        </w:rPr>
      </w:pPr>
      <w:r>
        <w:rPr>
          <w:rFonts w:hint="eastAsia" w:ascii="宋体" w:hAnsi="宋体" w:cs="宋体"/>
          <w:sz w:val="28"/>
          <w:szCs w:val="28"/>
        </w:rPr>
        <w:t>9、付款方式：验收合格30日后，支付合同总价的95%，余款5%质保期满之后1个月内付清。</w:t>
      </w:r>
    </w:p>
    <w:p>
      <w:pPr>
        <w:pStyle w:val="18"/>
        <w:ind w:firstLine="560" w:firstLineChars="200"/>
        <w:rPr>
          <w:rFonts w:hint="eastAsia" w:hAnsi="宋体" w:cs="宋体"/>
          <w:sz w:val="28"/>
          <w:szCs w:val="28"/>
        </w:rPr>
      </w:pPr>
      <w:r>
        <w:rPr>
          <w:rFonts w:hint="eastAsia" w:hAnsi="宋体" w:cs="宋体"/>
          <w:sz w:val="28"/>
          <w:szCs w:val="28"/>
        </w:rPr>
        <w:t>10、本项目总投标价包括了履行合同所有内容的全部费用。总投标价包含了交付使用前的全部费用，包括货物购置费（所有设备、辅材、零配件、易损件、备品备件及专用工具等）、安装调试费、原有的设备拆除费、人工费、交通费、食宿费、管理费、运输费、保险费、免费质保期内的维护维修费、培训费、验收费、采购代理服务费、其他费用（如包装费、仓储费、保管费、资料费、软件升级费以及完成本项目所需要的其他费用）及所有价内价外税金及合理利润等。</w:t>
      </w:r>
    </w:p>
    <w:p>
      <w:pPr>
        <w:pStyle w:val="18"/>
        <w:ind w:firstLine="560" w:firstLineChars="200"/>
        <w:rPr>
          <w:rFonts w:hint="eastAsia" w:hAnsi="宋体" w:cs="宋体"/>
          <w:sz w:val="28"/>
          <w:szCs w:val="28"/>
        </w:rPr>
      </w:pPr>
    </w:p>
    <w:p>
      <w:pPr>
        <w:pStyle w:val="18"/>
        <w:ind w:firstLine="440" w:firstLineChars="200"/>
        <w:rPr>
          <w:rFonts w:ascii="微软雅黑" w:hAnsi="微软雅黑" w:eastAsia="微软雅黑"/>
          <w:sz w:val="22"/>
          <w:szCs w:val="28"/>
        </w:rPr>
      </w:pPr>
    </w:p>
    <w:p>
      <w:pPr>
        <w:pStyle w:val="18"/>
        <w:ind w:firstLine="440" w:firstLineChars="200"/>
        <w:rPr>
          <w:rFonts w:ascii="微软雅黑" w:hAnsi="微软雅黑" w:eastAsia="微软雅黑"/>
          <w:sz w:val="22"/>
          <w:szCs w:val="28"/>
        </w:rPr>
      </w:pPr>
    </w:p>
    <w:p>
      <w:pPr>
        <w:pStyle w:val="18"/>
        <w:ind w:firstLine="440" w:firstLineChars="200"/>
        <w:rPr>
          <w:rFonts w:ascii="微软雅黑" w:hAnsi="微软雅黑" w:eastAsia="微软雅黑"/>
          <w:sz w:val="22"/>
          <w:szCs w:val="28"/>
        </w:rPr>
      </w:pPr>
      <w:bookmarkStart w:id="0" w:name="_Toc448235218"/>
      <w:bookmarkStart w:id="1" w:name="_Toc28070158"/>
      <w:bookmarkStart w:id="2" w:name="_Toc373517249"/>
    </w:p>
    <w:p>
      <w:pPr>
        <w:pStyle w:val="18"/>
        <w:ind w:firstLine="440" w:firstLineChars="200"/>
        <w:rPr>
          <w:rFonts w:ascii="微软雅黑" w:hAnsi="微软雅黑" w:eastAsia="微软雅黑"/>
          <w:sz w:val="22"/>
          <w:szCs w:val="28"/>
        </w:rPr>
      </w:pPr>
    </w:p>
    <w:p>
      <w:pPr>
        <w:pStyle w:val="18"/>
        <w:ind w:firstLine="440" w:firstLineChars="200"/>
        <w:rPr>
          <w:rFonts w:ascii="微软雅黑" w:hAnsi="微软雅黑" w:eastAsia="微软雅黑"/>
          <w:sz w:val="22"/>
          <w:szCs w:val="28"/>
        </w:rPr>
      </w:pPr>
    </w:p>
    <w:p>
      <w:pPr>
        <w:pStyle w:val="18"/>
        <w:ind w:firstLine="440" w:firstLineChars="200"/>
        <w:rPr>
          <w:rFonts w:ascii="微软雅黑" w:hAnsi="微软雅黑" w:eastAsia="微软雅黑"/>
          <w:sz w:val="22"/>
          <w:szCs w:val="28"/>
        </w:rPr>
      </w:pPr>
    </w:p>
    <w:p>
      <w:pPr>
        <w:pStyle w:val="18"/>
        <w:ind w:firstLine="440" w:firstLineChars="200"/>
        <w:rPr>
          <w:rFonts w:ascii="微软雅黑" w:hAnsi="微软雅黑" w:eastAsia="微软雅黑"/>
          <w:sz w:val="22"/>
          <w:szCs w:val="28"/>
        </w:rPr>
      </w:pPr>
    </w:p>
    <w:p>
      <w:pPr>
        <w:pStyle w:val="18"/>
        <w:ind w:firstLine="440" w:firstLineChars="200"/>
        <w:rPr>
          <w:rFonts w:ascii="微软雅黑" w:hAnsi="微软雅黑" w:eastAsia="微软雅黑"/>
          <w:sz w:val="22"/>
          <w:szCs w:val="28"/>
        </w:rPr>
      </w:pPr>
    </w:p>
    <w:p>
      <w:pPr>
        <w:pStyle w:val="18"/>
        <w:ind w:firstLine="440" w:firstLineChars="200"/>
        <w:rPr>
          <w:rFonts w:ascii="微软雅黑" w:hAnsi="微软雅黑" w:eastAsia="微软雅黑"/>
          <w:sz w:val="22"/>
          <w:szCs w:val="28"/>
        </w:rPr>
      </w:pPr>
    </w:p>
    <w:p>
      <w:pPr>
        <w:pStyle w:val="18"/>
        <w:ind w:firstLine="440" w:firstLineChars="200"/>
        <w:rPr>
          <w:rFonts w:ascii="微软雅黑" w:hAnsi="微软雅黑" w:eastAsia="微软雅黑"/>
          <w:sz w:val="22"/>
          <w:szCs w:val="28"/>
        </w:rPr>
      </w:pPr>
    </w:p>
    <w:p>
      <w:pPr>
        <w:pStyle w:val="18"/>
        <w:ind w:firstLine="440" w:firstLineChars="200"/>
        <w:rPr>
          <w:rFonts w:hint="eastAsia" w:ascii="微软雅黑" w:hAnsi="微软雅黑" w:eastAsia="微软雅黑"/>
          <w:sz w:val="22"/>
          <w:szCs w:val="28"/>
          <w:lang w:val="en-US" w:eastAsia="zh-CN"/>
        </w:rPr>
      </w:pPr>
      <w:r>
        <w:rPr>
          <w:rFonts w:hint="eastAsia" w:ascii="微软雅黑" w:hAnsi="微软雅黑" w:eastAsia="微软雅黑"/>
          <w:sz w:val="22"/>
          <w:szCs w:val="28"/>
          <w:lang w:val="en-US" w:eastAsia="zh-CN"/>
        </w:rPr>
        <w:t>附件</w:t>
      </w:r>
    </w:p>
    <w:p>
      <w:pPr>
        <w:pStyle w:val="18"/>
        <w:ind w:firstLine="562" w:firstLineChars="200"/>
        <w:rPr>
          <w:rFonts w:ascii="微软雅黑" w:hAnsi="微软雅黑" w:eastAsia="微软雅黑"/>
          <w:sz w:val="22"/>
          <w:szCs w:val="28"/>
        </w:rPr>
      </w:pPr>
      <w:r>
        <w:rPr>
          <w:rFonts w:hint="eastAsia" w:ascii="Times New Roman" w:hAnsi="Times New Roman" w:cs="Times New Roman"/>
          <w:b/>
          <w:bCs/>
          <w:sz w:val="28"/>
          <w:szCs w:val="28"/>
          <w:lang w:val="en-US" w:eastAsia="zh-CN"/>
        </w:rPr>
        <w:t>1.</w:t>
      </w:r>
      <w:r>
        <w:rPr>
          <w:rFonts w:hint="eastAsia" w:ascii="Times New Roman" w:hAnsi="Times New Roman" w:cs="Times New Roman"/>
          <w:b/>
          <w:bCs/>
          <w:sz w:val="28"/>
          <w:szCs w:val="28"/>
        </w:rPr>
        <w:t>门诊立式液晶显示系统</w:t>
      </w:r>
      <w:r>
        <w:rPr>
          <w:rFonts w:hint="eastAsia" w:ascii="Times New Roman" w:hAnsi="Times New Roman" w:cs="Times New Roman"/>
          <w:b/>
          <w:bCs/>
          <w:sz w:val="28"/>
          <w:szCs w:val="28"/>
        </w:rPr>
        <w:t>网络拓扑示意图</w:t>
      </w:r>
      <w:bookmarkEnd w:id="0"/>
      <w:bookmarkEnd w:id="1"/>
      <w:bookmarkEnd w:id="2"/>
    </w:p>
    <w:p>
      <w:pPr>
        <w:spacing w:line="360" w:lineRule="auto"/>
        <w:jc w:val="center"/>
        <w:rPr>
          <w:rFonts w:ascii="微软雅黑" w:hAnsi="微软雅黑" w:eastAsia="微软雅黑"/>
          <w:sz w:val="22"/>
          <w:szCs w:val="28"/>
        </w:rPr>
      </w:pPr>
      <w:r>
        <w:rPr>
          <w:rFonts w:ascii="微软雅黑" w:hAnsi="微软雅黑" w:eastAsia="微软雅黑"/>
          <w:sz w:val="22"/>
          <w:szCs w:val="28"/>
        </w:rPr>
        <w:drawing>
          <wp:inline distT="0" distB="0" distL="0" distR="0">
            <wp:extent cx="5271770" cy="3238500"/>
            <wp:effectExtent l="0" t="0" r="5080" b="0"/>
            <wp:docPr id="1" name="图片 1" descr="E:\shine\模板\电子排班系统\电子排班系统.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shine\模板\电子排班系统\电子排班系统.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71770" cy="3238500"/>
                    </a:xfrm>
                    <a:prstGeom prst="rect">
                      <a:avLst/>
                    </a:prstGeom>
                    <a:noFill/>
                    <a:ln>
                      <a:noFill/>
                    </a:ln>
                  </pic:spPr>
                </pic:pic>
              </a:graphicData>
            </a:graphic>
          </wp:inline>
        </w:drawing>
      </w:r>
    </w:p>
    <w:p>
      <w:pPr>
        <w:pStyle w:val="2"/>
        <w:jc w:val="center"/>
        <w:rPr>
          <w:rFonts w:hint="default" w:eastAsia="微软雅黑"/>
          <w:lang w:val="en-US" w:eastAsia="zh-CN"/>
        </w:rPr>
      </w:pPr>
      <w:r>
        <w:rPr>
          <w:rFonts w:hint="eastAsia" w:ascii="微软雅黑" w:hAnsi="微软雅黑" w:eastAsia="微软雅黑"/>
          <w:sz w:val="22"/>
          <w:szCs w:val="28"/>
          <w:lang w:val="en-US" w:eastAsia="zh-CN"/>
        </w:rPr>
        <w:t>图1 系统网络拓扑</w:t>
      </w:r>
    </w:p>
    <w:p>
      <w:pPr>
        <w:pStyle w:val="4"/>
        <w:numPr>
          <w:ilvl w:val="0"/>
          <w:numId w:val="0"/>
        </w:numPr>
        <w:spacing w:line="360" w:lineRule="auto"/>
        <w:ind w:left="720"/>
        <w:rPr>
          <w:rFonts w:hint="eastAsia" w:ascii="微软雅黑" w:hAnsi="微软雅黑" w:eastAsia="微软雅黑"/>
          <w:sz w:val="22"/>
          <w:szCs w:val="28"/>
          <w:lang w:val="en-US" w:eastAsia="zh-CN"/>
        </w:rPr>
      </w:pPr>
      <w:bookmarkStart w:id="3" w:name="_Toc28070161"/>
      <w:bookmarkStart w:id="4" w:name="_Toc373517252"/>
      <w:bookmarkStart w:id="5" w:name="_Toc448235221"/>
      <w:r>
        <w:rPr>
          <w:rFonts w:hint="eastAsia" w:ascii="微软雅黑" w:hAnsi="微软雅黑" w:eastAsia="微软雅黑"/>
          <w:sz w:val="22"/>
          <w:szCs w:val="28"/>
          <w:lang w:val="en-US" w:eastAsia="zh-CN"/>
        </w:rPr>
        <w:t>2.</w:t>
      </w:r>
      <w:r>
        <w:rPr>
          <w:rFonts w:hint="eastAsia" w:ascii="微软雅黑" w:hAnsi="微软雅黑" w:eastAsia="微软雅黑"/>
          <w:sz w:val="22"/>
          <w:szCs w:val="28"/>
        </w:rPr>
        <w:t>系统架构</w:t>
      </w:r>
      <w:bookmarkEnd w:id="3"/>
      <w:bookmarkEnd w:id="4"/>
      <w:bookmarkEnd w:id="5"/>
      <w:r>
        <w:rPr>
          <w:rFonts w:hint="eastAsia" w:ascii="微软雅黑" w:hAnsi="微软雅黑" w:eastAsia="微软雅黑"/>
          <w:sz w:val="22"/>
          <w:szCs w:val="28"/>
          <w:lang w:val="en-US" w:eastAsia="zh-CN"/>
        </w:rPr>
        <w:t>示意图</w:t>
      </w:r>
    </w:p>
    <w:p>
      <w:pPr>
        <w:spacing w:line="360" w:lineRule="auto"/>
        <w:jc w:val="center"/>
        <w:rPr>
          <w:rFonts w:ascii="微软雅黑" w:hAnsi="微软雅黑" w:eastAsia="微软雅黑"/>
          <w:sz w:val="22"/>
          <w:szCs w:val="28"/>
        </w:rPr>
      </w:pPr>
      <w:r>
        <w:rPr>
          <w:rFonts w:ascii="微软雅黑" w:hAnsi="微软雅黑" w:eastAsia="微软雅黑"/>
          <w:sz w:val="22"/>
          <w:szCs w:val="28"/>
        </w:rPr>
        <w:drawing>
          <wp:inline distT="0" distB="0" distL="0" distR="0">
            <wp:extent cx="4299585" cy="2950210"/>
            <wp:effectExtent l="0" t="0" r="5715" b="2540"/>
            <wp:docPr id="2" name="图片 2" descr="E:\shine\模板\电子排班系统\电子排班显示系统系统软件架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shine\模板\电子排班系统\电子排班显示系统系统软件架构.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4299756" cy="2950210"/>
                    </a:xfrm>
                    <a:prstGeom prst="rect">
                      <a:avLst/>
                    </a:prstGeom>
                    <a:noFill/>
                    <a:ln>
                      <a:noFill/>
                    </a:ln>
                  </pic:spPr>
                </pic:pic>
              </a:graphicData>
            </a:graphic>
          </wp:inline>
        </w:drawing>
      </w:r>
    </w:p>
    <w:p>
      <w:pPr>
        <w:pStyle w:val="2"/>
        <w:jc w:val="center"/>
        <w:rPr>
          <w:rFonts w:hint="default" w:eastAsia="微软雅黑"/>
          <w:lang w:val="en-US" w:eastAsia="zh-CN"/>
        </w:rPr>
      </w:pPr>
      <w:r>
        <w:rPr>
          <w:rFonts w:hint="eastAsia" w:ascii="微软雅黑" w:hAnsi="微软雅黑" w:eastAsia="微软雅黑"/>
          <w:sz w:val="22"/>
          <w:szCs w:val="28"/>
          <w:lang w:val="en-US" w:eastAsia="zh-CN"/>
        </w:rPr>
        <w:t>图2 系统架构示意图</w:t>
      </w:r>
    </w:p>
    <w:p>
      <w:pPr>
        <w:pStyle w:val="4"/>
        <w:numPr>
          <w:ilvl w:val="0"/>
          <w:numId w:val="5"/>
        </w:numPr>
        <w:spacing w:line="360" w:lineRule="auto"/>
        <w:ind w:left="720"/>
        <w:rPr>
          <w:rFonts w:hint="eastAsia" w:ascii="微软雅黑" w:hAnsi="微软雅黑" w:eastAsia="微软雅黑" w:cs="Times New Roman"/>
          <w:sz w:val="22"/>
          <w:szCs w:val="28"/>
          <w:lang w:val="en-US" w:eastAsia="zh-CN"/>
        </w:rPr>
      </w:pPr>
      <w:r>
        <w:rPr>
          <w:rFonts w:hint="eastAsia" w:ascii="微软雅黑" w:hAnsi="微软雅黑" w:eastAsia="微软雅黑" w:cs="Times New Roman"/>
          <w:sz w:val="22"/>
          <w:szCs w:val="28"/>
          <w:lang w:val="en-US" w:eastAsia="zh-CN"/>
        </w:rPr>
        <w:t>效果图</w:t>
      </w:r>
    </w:p>
    <w:p>
      <w:pPr>
        <w:numPr>
          <w:numId w:val="0"/>
        </w:numPr>
        <w:jc w:val="center"/>
        <w:rPr>
          <w:rFonts w:ascii="微软雅黑" w:hAnsi="微软雅黑" w:eastAsia="微软雅黑"/>
          <w:sz w:val="22"/>
          <w:szCs w:val="28"/>
        </w:rPr>
      </w:pPr>
      <w:r>
        <w:rPr>
          <w:rFonts w:ascii="微软雅黑" w:hAnsi="微软雅黑" w:eastAsia="微软雅黑"/>
          <w:sz w:val="22"/>
          <w:szCs w:val="28"/>
        </w:rPr>
        <w:drawing>
          <wp:inline distT="0" distB="0" distL="0" distR="0">
            <wp:extent cx="5274310" cy="3614420"/>
            <wp:effectExtent l="0" t="0" r="2540" b="5080"/>
            <wp:docPr id="9" name="图片 6" descr="E:\扬州地区\扬州人民医院专家排班\微信图片_201912230917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E:\扬州地区\扬州人民医院专家排班\微信图片_201912230917125.jpg"/>
                    <pic:cNvPicPr>
                      <a:picLocks noChangeAspect="1" noChangeArrowheads="1"/>
                    </pic:cNvPicPr>
                  </pic:nvPicPr>
                  <pic:blipFill>
                    <a:blip r:embed="rId8" cstate="print"/>
                    <a:srcRect/>
                    <a:stretch>
                      <a:fillRect/>
                    </a:stretch>
                  </pic:blipFill>
                  <pic:spPr>
                    <a:xfrm>
                      <a:off x="0" y="0"/>
                      <a:ext cx="5274310" cy="3614420"/>
                    </a:xfrm>
                    <a:prstGeom prst="rect">
                      <a:avLst/>
                    </a:prstGeom>
                    <a:noFill/>
                    <a:ln w="9525">
                      <a:noFill/>
                      <a:miter lim="800000"/>
                      <a:headEnd/>
                      <a:tailEnd/>
                    </a:ln>
                  </pic:spPr>
                </pic:pic>
              </a:graphicData>
            </a:graphic>
          </wp:inline>
        </w:drawing>
      </w:r>
    </w:p>
    <w:p>
      <w:pPr>
        <w:pStyle w:val="2"/>
        <w:jc w:val="center"/>
        <w:rPr>
          <w:rFonts w:hint="default" w:ascii="微软雅黑" w:hAnsi="微软雅黑" w:eastAsia="微软雅黑"/>
          <w:sz w:val="22"/>
          <w:szCs w:val="28"/>
          <w:lang w:val="en-US" w:eastAsia="zh-CN"/>
        </w:rPr>
      </w:pPr>
      <w:r>
        <w:rPr>
          <w:rFonts w:hint="eastAsia" w:ascii="微软雅黑" w:hAnsi="微软雅黑" w:eastAsia="微软雅黑"/>
          <w:sz w:val="22"/>
          <w:szCs w:val="28"/>
          <w:lang w:val="en-US" w:eastAsia="zh-CN"/>
        </w:rPr>
        <w:t>图3 多联屏显示效果</w:t>
      </w:r>
    </w:p>
    <w:p>
      <w:pPr>
        <w:pStyle w:val="2"/>
        <w:jc w:val="center"/>
        <w:rPr>
          <w:rFonts w:ascii="微软雅黑" w:hAnsi="微软雅黑" w:eastAsia="微软雅黑"/>
          <w:sz w:val="22"/>
          <w:szCs w:val="28"/>
        </w:rPr>
      </w:pPr>
      <w:r>
        <w:rPr>
          <w:rFonts w:ascii="微软雅黑" w:hAnsi="微软雅黑" w:eastAsia="微软雅黑"/>
          <w:sz w:val="22"/>
          <w:szCs w:val="28"/>
        </w:rPr>
        <w:drawing>
          <wp:inline distT="0" distB="0" distL="0" distR="0">
            <wp:extent cx="5274310" cy="3521075"/>
            <wp:effectExtent l="0" t="0" r="2540" b="3175"/>
            <wp:docPr id="12" name="图片 9" descr="E:\扬州地区\扬州人民医院专家排班\微信图片_2019122309171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descr="E:\扬州地区\扬州人民医院专家排班\微信图片_201912230917124.jpg"/>
                    <pic:cNvPicPr>
                      <a:picLocks noChangeAspect="1" noChangeArrowheads="1"/>
                    </pic:cNvPicPr>
                  </pic:nvPicPr>
                  <pic:blipFill>
                    <a:blip r:embed="rId9" cstate="print"/>
                    <a:srcRect/>
                    <a:stretch>
                      <a:fillRect/>
                    </a:stretch>
                  </pic:blipFill>
                  <pic:spPr>
                    <a:xfrm>
                      <a:off x="0" y="0"/>
                      <a:ext cx="5274310" cy="3521075"/>
                    </a:xfrm>
                    <a:prstGeom prst="rect">
                      <a:avLst/>
                    </a:prstGeom>
                    <a:noFill/>
                    <a:ln w="9525">
                      <a:noFill/>
                      <a:miter lim="800000"/>
                      <a:headEnd/>
                      <a:tailEnd/>
                    </a:ln>
                  </pic:spPr>
                </pic:pic>
              </a:graphicData>
            </a:graphic>
          </wp:inline>
        </w:drawing>
      </w:r>
    </w:p>
    <w:p>
      <w:pPr>
        <w:pStyle w:val="2"/>
        <w:jc w:val="center"/>
        <w:rPr>
          <w:rFonts w:hint="default" w:ascii="微软雅黑" w:hAnsi="微软雅黑" w:eastAsia="微软雅黑"/>
          <w:sz w:val="22"/>
          <w:szCs w:val="28"/>
          <w:lang w:val="en-US" w:eastAsia="zh-CN"/>
        </w:rPr>
      </w:pPr>
      <w:r>
        <w:rPr>
          <w:rFonts w:hint="eastAsia" w:ascii="微软雅黑" w:hAnsi="微软雅黑" w:eastAsia="微软雅黑"/>
          <w:sz w:val="22"/>
          <w:szCs w:val="28"/>
          <w:lang w:val="en-US" w:eastAsia="zh-CN"/>
        </w:rPr>
        <w:t>图4 双联屏显示效果</w:t>
      </w:r>
    </w:p>
    <w:p>
      <w:pPr>
        <w:pStyle w:val="2"/>
        <w:jc w:val="center"/>
      </w:pPr>
      <w:r>
        <w:drawing>
          <wp:inline distT="0" distB="0" distL="114300" distR="114300">
            <wp:extent cx="5745480" cy="3803650"/>
            <wp:effectExtent l="0" t="0" r="7620" b="6350"/>
            <wp:docPr id="4" name="图片 4" descr="514513637016870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14513637016870556"/>
                    <pic:cNvPicPr>
                      <a:picLocks noChangeAspect="1"/>
                    </pic:cNvPicPr>
                  </pic:nvPicPr>
                  <pic:blipFill>
                    <a:blip r:embed="rId10"/>
                    <a:stretch>
                      <a:fillRect/>
                    </a:stretch>
                  </pic:blipFill>
                  <pic:spPr>
                    <a:xfrm>
                      <a:off x="0" y="0"/>
                      <a:ext cx="5745480" cy="3803650"/>
                    </a:xfrm>
                    <a:prstGeom prst="rect">
                      <a:avLst/>
                    </a:prstGeom>
                  </pic:spPr>
                </pic:pic>
              </a:graphicData>
            </a:graphic>
          </wp:inline>
        </w:drawing>
      </w:r>
    </w:p>
    <w:p>
      <w:pPr>
        <w:pStyle w:val="2"/>
        <w:jc w:val="center"/>
        <w:rPr>
          <w:rFonts w:hint="default" w:eastAsia="宋体"/>
          <w:b/>
          <w:bCs/>
          <w:sz w:val="22"/>
          <w:szCs w:val="24"/>
          <w:lang w:val="en-US" w:eastAsia="zh-CN"/>
        </w:rPr>
      </w:pPr>
      <w:r>
        <w:rPr>
          <w:rFonts w:hint="eastAsia"/>
          <w:b/>
          <w:bCs/>
          <w:sz w:val="22"/>
          <w:szCs w:val="24"/>
          <w:lang w:val="en-US" w:eastAsia="zh-CN"/>
        </w:rPr>
        <w:t>图5 单屏显示效果</w:t>
      </w:r>
      <w:bookmarkStart w:id="6" w:name="_GoBack"/>
      <w:bookmarkEnd w:id="6"/>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undefined">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Style w:val="21"/>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rPr>
        <w:rStyle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6A6180"/>
    <w:multiLevelType w:val="multilevel"/>
    <w:tmpl w:val="016A6180"/>
    <w:lvl w:ilvl="0" w:tentative="0">
      <w:start w:val="1"/>
      <w:numFmt w:val="decimal"/>
      <w:suff w:val="nothing"/>
      <w:lvlText w:val="%1、"/>
      <w:lvlJc w:val="left"/>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1DF78C1"/>
    <w:multiLevelType w:val="multilevel"/>
    <w:tmpl w:val="31DF78C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12E1D83"/>
    <w:multiLevelType w:val="singleLevel"/>
    <w:tmpl w:val="412E1D83"/>
    <w:lvl w:ilvl="0" w:tentative="0">
      <w:start w:val="3"/>
      <w:numFmt w:val="decimal"/>
      <w:lvlText w:val="%1."/>
      <w:lvlJc w:val="left"/>
      <w:pPr>
        <w:tabs>
          <w:tab w:val="left" w:pos="312"/>
        </w:tabs>
      </w:pPr>
    </w:lvl>
  </w:abstractNum>
  <w:abstractNum w:abstractNumId="3">
    <w:nsid w:val="4B6813BA"/>
    <w:multiLevelType w:val="multilevel"/>
    <w:tmpl w:val="4B6813BA"/>
    <w:lvl w:ilvl="0" w:tentative="0">
      <w:start w:val="1"/>
      <w:numFmt w:val="decimal"/>
      <w:lvlText w:val="%1"/>
      <w:lvlJc w:val="left"/>
      <w:pPr>
        <w:ind w:left="432" w:hanging="432"/>
      </w:pPr>
      <w:rPr>
        <w:b/>
      </w:rPr>
    </w:lvl>
    <w:lvl w:ilvl="1" w:tentative="0">
      <w:start w:val="1"/>
      <w:numFmt w:val="decimal"/>
      <w:pStyle w:val="3"/>
      <w:lvlText w:val="%1.%2"/>
      <w:lvlJc w:val="left"/>
      <w:pPr>
        <w:ind w:left="718" w:hanging="576"/>
      </w:pPr>
      <w:rPr>
        <w:rFonts w:ascii="Times New Roman" w:hAnsi="Times New Roman" w:cs="Times New Roman"/>
        <w:i w:val="0"/>
        <w:iCs w:val="0"/>
        <w:caps w:val="0"/>
        <w:smallCaps w:val="0"/>
        <w:strike w:val="0"/>
        <w:dstrike w:val="0"/>
        <w:vanish w:val="0"/>
        <w:color w:val="000000"/>
        <w:spacing w:val="0"/>
        <w:position w:val="0"/>
        <w:u w:val="none"/>
        <w:vertAlign w:val="baseline"/>
      </w:rPr>
    </w:lvl>
    <w:lvl w:ilvl="2" w:tentative="0">
      <w:start w:val="1"/>
      <w:numFmt w:val="decimal"/>
      <w:pStyle w:val="4"/>
      <w:lvlText w:val="%1.%2.%3"/>
      <w:lvlJc w:val="left"/>
      <w:pPr>
        <w:ind w:left="720" w:hanging="7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rPr>
    </w:lvl>
    <w:lvl w:ilvl="3" w:tentative="0">
      <w:start w:val="1"/>
      <w:numFmt w:val="decimal"/>
      <w:lvlText w:val="%1.%2.%3.%4"/>
      <w:lvlJc w:val="left"/>
      <w:pPr>
        <w:ind w:left="864" w:hanging="864"/>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2" w:hanging="1152"/>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4" w:hanging="1584"/>
      </w:pPr>
      <w:rPr>
        <w:rFonts w:hint="default"/>
      </w:rPr>
    </w:lvl>
  </w:abstractNum>
  <w:abstractNum w:abstractNumId="4">
    <w:nsid w:val="5B33085C"/>
    <w:multiLevelType w:val="multilevel"/>
    <w:tmpl w:val="5B33085C"/>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846"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0DB4"/>
    <w:rsid w:val="00001B38"/>
    <w:rsid w:val="00036748"/>
    <w:rsid w:val="00114181"/>
    <w:rsid w:val="00117E34"/>
    <w:rsid w:val="001479E9"/>
    <w:rsid w:val="001520FA"/>
    <w:rsid w:val="001801C1"/>
    <w:rsid w:val="001C2B68"/>
    <w:rsid w:val="001C3496"/>
    <w:rsid w:val="0020053D"/>
    <w:rsid w:val="00205B63"/>
    <w:rsid w:val="002628B9"/>
    <w:rsid w:val="00282469"/>
    <w:rsid w:val="002936B0"/>
    <w:rsid w:val="002974CE"/>
    <w:rsid w:val="002A4006"/>
    <w:rsid w:val="002C0EC2"/>
    <w:rsid w:val="002D6B1A"/>
    <w:rsid w:val="00313046"/>
    <w:rsid w:val="003342D6"/>
    <w:rsid w:val="0035040B"/>
    <w:rsid w:val="003570ED"/>
    <w:rsid w:val="003671DE"/>
    <w:rsid w:val="003A25BF"/>
    <w:rsid w:val="003A46C1"/>
    <w:rsid w:val="003A7B6F"/>
    <w:rsid w:val="003B297E"/>
    <w:rsid w:val="00422137"/>
    <w:rsid w:val="00431C84"/>
    <w:rsid w:val="004554F3"/>
    <w:rsid w:val="004558A4"/>
    <w:rsid w:val="004D6888"/>
    <w:rsid w:val="00501B6D"/>
    <w:rsid w:val="00536919"/>
    <w:rsid w:val="0057330D"/>
    <w:rsid w:val="00593F52"/>
    <w:rsid w:val="005B0F9A"/>
    <w:rsid w:val="005C1BEA"/>
    <w:rsid w:val="00645439"/>
    <w:rsid w:val="006554B1"/>
    <w:rsid w:val="006E6CA2"/>
    <w:rsid w:val="007060EC"/>
    <w:rsid w:val="007134BA"/>
    <w:rsid w:val="007264BD"/>
    <w:rsid w:val="00744B7F"/>
    <w:rsid w:val="007B3818"/>
    <w:rsid w:val="007D71E5"/>
    <w:rsid w:val="00815889"/>
    <w:rsid w:val="0084316B"/>
    <w:rsid w:val="008562EA"/>
    <w:rsid w:val="00862575"/>
    <w:rsid w:val="008801AD"/>
    <w:rsid w:val="00897741"/>
    <w:rsid w:val="009258AB"/>
    <w:rsid w:val="00926E99"/>
    <w:rsid w:val="00930DB4"/>
    <w:rsid w:val="00986054"/>
    <w:rsid w:val="009A18E2"/>
    <w:rsid w:val="009B134C"/>
    <w:rsid w:val="009B5430"/>
    <w:rsid w:val="00A16A1F"/>
    <w:rsid w:val="00A33353"/>
    <w:rsid w:val="00A713C5"/>
    <w:rsid w:val="00A875B5"/>
    <w:rsid w:val="00AD1431"/>
    <w:rsid w:val="00AE7D68"/>
    <w:rsid w:val="00B41B11"/>
    <w:rsid w:val="00B4367C"/>
    <w:rsid w:val="00B51DFC"/>
    <w:rsid w:val="00B54E05"/>
    <w:rsid w:val="00B814E2"/>
    <w:rsid w:val="00B85DC0"/>
    <w:rsid w:val="00B94F6E"/>
    <w:rsid w:val="00BC3DAC"/>
    <w:rsid w:val="00BF707E"/>
    <w:rsid w:val="00C00955"/>
    <w:rsid w:val="00C1691A"/>
    <w:rsid w:val="00C420C3"/>
    <w:rsid w:val="00C70181"/>
    <w:rsid w:val="00C82786"/>
    <w:rsid w:val="00CA50C3"/>
    <w:rsid w:val="00CA5F82"/>
    <w:rsid w:val="00CB2863"/>
    <w:rsid w:val="00CC3D66"/>
    <w:rsid w:val="00D20302"/>
    <w:rsid w:val="00D238FB"/>
    <w:rsid w:val="00E24AC1"/>
    <w:rsid w:val="00E5087A"/>
    <w:rsid w:val="00EB19C1"/>
    <w:rsid w:val="00EC11E0"/>
    <w:rsid w:val="00EE4633"/>
    <w:rsid w:val="00F01550"/>
    <w:rsid w:val="00F1247C"/>
    <w:rsid w:val="00F70569"/>
    <w:rsid w:val="00F871F6"/>
    <w:rsid w:val="00F90AF9"/>
    <w:rsid w:val="00F9320C"/>
    <w:rsid w:val="00F94B2C"/>
    <w:rsid w:val="00FB3E60"/>
    <w:rsid w:val="00FF2912"/>
    <w:rsid w:val="00FF2A41"/>
    <w:rsid w:val="0407628C"/>
    <w:rsid w:val="050F430E"/>
    <w:rsid w:val="07D07209"/>
    <w:rsid w:val="0C7353BD"/>
    <w:rsid w:val="0CB35833"/>
    <w:rsid w:val="0E0D55A6"/>
    <w:rsid w:val="10920B04"/>
    <w:rsid w:val="11631BB4"/>
    <w:rsid w:val="1451683C"/>
    <w:rsid w:val="153048B0"/>
    <w:rsid w:val="1531151F"/>
    <w:rsid w:val="15AF66B6"/>
    <w:rsid w:val="15FC2CFF"/>
    <w:rsid w:val="177B29AE"/>
    <w:rsid w:val="18F412AB"/>
    <w:rsid w:val="19B976BA"/>
    <w:rsid w:val="19C2137F"/>
    <w:rsid w:val="1D70532A"/>
    <w:rsid w:val="1FB4450B"/>
    <w:rsid w:val="1FD6038C"/>
    <w:rsid w:val="222750C0"/>
    <w:rsid w:val="239A0116"/>
    <w:rsid w:val="249A4554"/>
    <w:rsid w:val="25191900"/>
    <w:rsid w:val="2A4535D7"/>
    <w:rsid w:val="2A9C685E"/>
    <w:rsid w:val="2DC93EAD"/>
    <w:rsid w:val="2ED35C5C"/>
    <w:rsid w:val="2EE32DC1"/>
    <w:rsid w:val="30194A54"/>
    <w:rsid w:val="30FF6916"/>
    <w:rsid w:val="312C1179"/>
    <w:rsid w:val="35A93166"/>
    <w:rsid w:val="37F267B5"/>
    <w:rsid w:val="38E11301"/>
    <w:rsid w:val="39A46857"/>
    <w:rsid w:val="3A004221"/>
    <w:rsid w:val="3A9A7037"/>
    <w:rsid w:val="3E774F3B"/>
    <w:rsid w:val="444D46CA"/>
    <w:rsid w:val="48773D9C"/>
    <w:rsid w:val="4D0B41AA"/>
    <w:rsid w:val="51B35E06"/>
    <w:rsid w:val="540B11F6"/>
    <w:rsid w:val="54130166"/>
    <w:rsid w:val="58D545A4"/>
    <w:rsid w:val="58F742E4"/>
    <w:rsid w:val="59FC2BED"/>
    <w:rsid w:val="5A064F17"/>
    <w:rsid w:val="5E0D2214"/>
    <w:rsid w:val="5F10092D"/>
    <w:rsid w:val="5F9254CD"/>
    <w:rsid w:val="5FF73EB4"/>
    <w:rsid w:val="634F0A7C"/>
    <w:rsid w:val="655C3E61"/>
    <w:rsid w:val="6676688F"/>
    <w:rsid w:val="66D56C46"/>
    <w:rsid w:val="689F5720"/>
    <w:rsid w:val="69FA49C2"/>
    <w:rsid w:val="6B1D4C2F"/>
    <w:rsid w:val="6DFB353C"/>
    <w:rsid w:val="6FE87DA9"/>
    <w:rsid w:val="70A7221A"/>
    <w:rsid w:val="75580322"/>
    <w:rsid w:val="77E14AEE"/>
    <w:rsid w:val="7E6836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imes New Roman"/>
      <w:kern w:val="2"/>
      <w:sz w:val="21"/>
      <w:szCs w:val="22"/>
      <w:lang w:val="en-US" w:eastAsia="zh-CN" w:bidi="ar-SA"/>
    </w:rPr>
  </w:style>
  <w:style w:type="paragraph" w:styleId="3">
    <w:name w:val="heading 2"/>
    <w:basedOn w:val="1"/>
    <w:next w:val="1"/>
    <w:qFormat/>
    <w:uiPriority w:val="0"/>
    <w:pPr>
      <w:keepNext/>
      <w:keepLines/>
      <w:numPr>
        <w:ilvl w:val="1"/>
        <w:numId w:val="1"/>
      </w:numPr>
      <w:spacing w:before="260" w:after="260" w:line="416" w:lineRule="auto"/>
      <w:outlineLvl w:val="1"/>
    </w:pPr>
    <w:rPr>
      <w:rFonts w:ascii="Arial" w:hAnsi="Arial" w:eastAsia="黑体" w:cs="Times New Roman"/>
      <w:b/>
      <w:bCs/>
      <w:sz w:val="32"/>
      <w:szCs w:val="32"/>
    </w:rPr>
  </w:style>
  <w:style w:type="paragraph" w:styleId="4">
    <w:name w:val="heading 3"/>
    <w:basedOn w:val="1"/>
    <w:next w:val="1"/>
    <w:qFormat/>
    <w:uiPriority w:val="0"/>
    <w:pPr>
      <w:keepNext/>
      <w:keepLines/>
      <w:numPr>
        <w:ilvl w:val="2"/>
        <w:numId w:val="1"/>
      </w:numPr>
      <w:spacing w:before="260" w:after="260" w:line="416" w:lineRule="auto"/>
      <w:outlineLvl w:val="2"/>
    </w:pPr>
    <w:rPr>
      <w:rFonts w:cs="Times New Roman"/>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5">
    <w:name w:val="Body Text Indent"/>
    <w:basedOn w:val="1"/>
    <w:next w:val="6"/>
    <w:unhideWhenUsed/>
    <w:qFormat/>
    <w:uiPriority w:val="99"/>
    <w:pPr>
      <w:ind w:firstLine="660"/>
    </w:pPr>
    <w:rPr>
      <w:rFonts w:ascii="宋体" w:hAnsi="宋体"/>
      <w:color w:val="000000"/>
      <w:sz w:val="24"/>
      <w:szCs w:val="20"/>
    </w:rPr>
  </w:style>
  <w:style w:type="paragraph" w:styleId="6">
    <w:name w:val="envelope return"/>
    <w:basedOn w:val="1"/>
    <w:qFormat/>
    <w:uiPriority w:val="0"/>
    <w:pPr>
      <w:snapToGrid w:val="0"/>
    </w:pPr>
    <w:rPr>
      <w:rFonts w:ascii="Arial" w:hAnsi="Arial"/>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000000" w:sz="6" w:space="1"/>
      </w:pBdr>
      <w:tabs>
        <w:tab w:val="center" w:pos="4153"/>
        <w:tab w:val="right" w:pos="8306"/>
      </w:tabs>
      <w:snapToGrid w:val="0"/>
      <w:jc w:val="center"/>
    </w:pPr>
    <w:rPr>
      <w:sz w:val="18"/>
    </w:rPr>
  </w:style>
  <w:style w:type="paragraph" w:styleId="9">
    <w:name w:val="toc 1"/>
    <w:basedOn w:val="1"/>
    <w:next w:val="1"/>
    <w:qFormat/>
    <w:uiPriority w:val="39"/>
    <w:pPr>
      <w:autoSpaceDE w:val="0"/>
      <w:autoSpaceDN w:val="0"/>
      <w:spacing w:before="146"/>
      <w:ind w:left="455"/>
      <w:jc w:val="left"/>
    </w:pPr>
    <w:rPr>
      <w:rFonts w:ascii="宋体" w:hAnsi="宋体" w:cs="宋体"/>
      <w:b/>
      <w:bCs/>
      <w:kern w:val="0"/>
      <w:sz w:val="22"/>
      <w:lang w:val="zh-CN" w:bidi="zh-CN"/>
    </w:rPr>
  </w:style>
  <w:style w:type="paragraph" w:styleId="10">
    <w:name w:val="Body Text Indent 3"/>
    <w:basedOn w:val="1"/>
    <w:qFormat/>
    <w:uiPriority w:val="0"/>
    <w:pPr>
      <w:spacing w:after="120"/>
      <w:ind w:left="420" w:leftChars="200"/>
    </w:pPr>
    <w:rPr>
      <w:sz w:val="16"/>
      <w:szCs w:val="16"/>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auto"/>
    </w:pPr>
    <w:rPr>
      <w:rFonts w:ascii="Arial" w:hAnsi="Arial" w:cs="Arial"/>
      <w:kern w:val="0"/>
      <w:sz w:val="24"/>
      <w:szCs w:val="24"/>
    </w:rPr>
  </w:style>
  <w:style w:type="paragraph" w:styleId="12">
    <w:name w:val="Normal (Web)"/>
    <w:basedOn w:val="1"/>
    <w:uiPriority w:val="0"/>
    <w:pPr>
      <w:spacing w:before="0" w:beforeAutospacing="1" w:after="0" w:afterAutospacing="1"/>
      <w:ind w:left="0" w:right="0"/>
      <w:jc w:val="left"/>
    </w:pPr>
    <w:rPr>
      <w:kern w:val="0"/>
      <w:sz w:val="24"/>
      <w:lang w:val="en-US" w:eastAsia="zh-CN" w:bidi="ar"/>
    </w:rPr>
  </w:style>
  <w:style w:type="paragraph" w:styleId="13">
    <w:name w:val="Body Text First Indent 2"/>
    <w:basedOn w:val="5"/>
    <w:qFormat/>
    <w:uiPriority w:val="0"/>
    <w:pPr>
      <w:ind w:left="420" w:firstLine="420" w:firstLineChars="200"/>
    </w:p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qFormat/>
    <w:uiPriority w:val="0"/>
    <w:rPr>
      <w:rFonts w:cs="Times New Roman"/>
      <w:b/>
      <w:bCs/>
    </w:rPr>
  </w:style>
  <w:style w:type="paragraph" w:customStyle="1" w:styleId="18">
    <w:name w:val="PlainText"/>
    <w:basedOn w:val="1"/>
    <w:link w:val="23"/>
    <w:qFormat/>
    <w:uiPriority w:val="0"/>
    <w:rPr>
      <w:rFonts w:ascii="宋体" w:hAnsi="Courier New"/>
      <w:szCs w:val="20"/>
    </w:rPr>
  </w:style>
  <w:style w:type="paragraph" w:customStyle="1" w:styleId="19">
    <w:name w:val="TOC1"/>
    <w:basedOn w:val="1"/>
    <w:next w:val="1"/>
    <w:qFormat/>
    <w:uiPriority w:val="0"/>
  </w:style>
  <w:style w:type="paragraph" w:customStyle="1" w:styleId="20">
    <w:name w:val="Heading2"/>
    <w:basedOn w:val="1"/>
    <w:next w:val="1"/>
    <w:qFormat/>
    <w:uiPriority w:val="0"/>
    <w:pPr>
      <w:keepNext/>
      <w:keepLines/>
      <w:spacing w:before="260" w:after="260" w:line="416" w:lineRule="auto"/>
    </w:pPr>
    <w:rPr>
      <w:rFonts w:ascii="Arial" w:hAnsi="Arial" w:eastAsia="黑体"/>
      <w:b/>
      <w:bCs/>
    </w:rPr>
  </w:style>
  <w:style w:type="character" w:customStyle="1" w:styleId="21">
    <w:name w:val="NormalCharacter"/>
    <w:qFormat/>
    <w:uiPriority w:val="0"/>
  </w:style>
  <w:style w:type="table" w:customStyle="1" w:styleId="22">
    <w:name w:val="TableNormal"/>
    <w:qFormat/>
    <w:uiPriority w:val="0"/>
    <w:tblPr>
      <w:tblCellMar>
        <w:top w:w="0" w:type="dxa"/>
        <w:left w:w="0" w:type="dxa"/>
        <w:bottom w:w="0" w:type="dxa"/>
        <w:right w:w="0" w:type="dxa"/>
      </w:tblCellMar>
    </w:tblPr>
  </w:style>
  <w:style w:type="character" w:customStyle="1" w:styleId="23">
    <w:name w:val="UserStyle_0"/>
    <w:link w:val="18"/>
    <w:qFormat/>
    <w:locked/>
    <w:uiPriority w:val="0"/>
    <w:rPr>
      <w:rFonts w:ascii="宋体" w:hAnsi="Courier New"/>
      <w:kern w:val="2"/>
      <w:sz w:val="21"/>
    </w:rPr>
  </w:style>
  <w:style w:type="character" w:customStyle="1" w:styleId="24">
    <w:name w:val="PageNumber"/>
    <w:basedOn w:val="21"/>
    <w:qFormat/>
    <w:uiPriority w:val="0"/>
  </w:style>
  <w:style w:type="character" w:customStyle="1" w:styleId="25">
    <w:name w:val="UserStyle_1"/>
    <w:semiHidden/>
    <w:qFormat/>
    <w:uiPriority w:val="0"/>
    <w:rPr>
      <w:rFonts w:ascii="宋体" w:hAnsi="Courier New"/>
      <w:kern w:val="2"/>
      <w:sz w:val="21"/>
      <w:szCs w:val="21"/>
    </w:rPr>
  </w:style>
  <w:style w:type="paragraph" w:customStyle="1" w:styleId="26">
    <w:name w:val="BodyText1I2"/>
    <w:basedOn w:val="27"/>
    <w:qFormat/>
    <w:uiPriority w:val="0"/>
    <w:pPr>
      <w:ind w:left="420" w:firstLine="420" w:firstLineChars="200"/>
    </w:pPr>
  </w:style>
  <w:style w:type="paragraph" w:customStyle="1" w:styleId="27">
    <w:name w:val="BodyTextIndent"/>
    <w:basedOn w:val="1"/>
    <w:next w:val="28"/>
    <w:qFormat/>
    <w:uiPriority w:val="0"/>
    <w:pPr>
      <w:ind w:firstLine="660"/>
    </w:pPr>
    <w:rPr>
      <w:rFonts w:ascii="宋体" w:hAnsi="宋体"/>
      <w:color w:val="000000"/>
      <w:sz w:val="24"/>
      <w:szCs w:val="20"/>
    </w:rPr>
  </w:style>
  <w:style w:type="paragraph" w:customStyle="1" w:styleId="28">
    <w:name w:val="EnvelopeReturn"/>
    <w:basedOn w:val="1"/>
    <w:qFormat/>
    <w:uiPriority w:val="0"/>
    <w:pPr>
      <w:snapToGrid w:val="0"/>
    </w:pPr>
    <w:rPr>
      <w:rFonts w:ascii="Arial" w:hAnsi="Arial"/>
    </w:rPr>
  </w:style>
  <w:style w:type="paragraph" w:customStyle="1" w:styleId="29">
    <w:name w:val="BodyText"/>
    <w:basedOn w:val="1"/>
    <w:qFormat/>
    <w:uiPriority w:val="0"/>
    <w:pPr>
      <w:spacing w:after="120"/>
    </w:pPr>
    <w:rPr>
      <w:rFonts w:ascii="Calibri" w:hAnsi="Calibri"/>
    </w:rPr>
  </w:style>
  <w:style w:type="paragraph" w:customStyle="1" w:styleId="30">
    <w:name w:val="HtmlNormal"/>
    <w:basedOn w:val="1"/>
    <w:qFormat/>
    <w:uiPriority w:val="0"/>
    <w:pPr>
      <w:spacing w:before="100" w:beforeAutospacing="1" w:after="100" w:afterAutospacing="1"/>
      <w:jc w:val="left"/>
    </w:pPr>
    <w:rPr>
      <w:rFonts w:ascii="宋体" w:hAnsi="宋体"/>
      <w:kern w:val="0"/>
      <w:sz w:val="24"/>
      <w:szCs w:val="24"/>
    </w:rPr>
  </w:style>
  <w:style w:type="paragraph" w:customStyle="1" w:styleId="31">
    <w:name w:val="BodyText3"/>
    <w:basedOn w:val="1"/>
    <w:qFormat/>
    <w:uiPriority w:val="0"/>
    <w:pPr>
      <w:spacing w:after="120"/>
    </w:pPr>
    <w:rPr>
      <w:rFonts w:ascii="Calibri" w:hAnsi="Calibri"/>
      <w:sz w:val="16"/>
      <w:szCs w:val="16"/>
    </w:rPr>
  </w:style>
  <w:style w:type="paragraph" w:customStyle="1" w:styleId="32">
    <w:name w:val="UserStyle_2"/>
    <w:basedOn w:val="1"/>
    <w:qFormat/>
    <w:uiPriority w:val="0"/>
    <w:rPr>
      <w:kern w:val="0"/>
      <w:szCs w:val="21"/>
    </w:rPr>
  </w:style>
  <w:style w:type="paragraph" w:customStyle="1" w:styleId="33">
    <w:name w:val="UserStyle_3"/>
    <w:basedOn w:val="1"/>
    <w:qFormat/>
    <w:uiPriority w:val="0"/>
    <w:pPr>
      <w:jc w:val="center"/>
    </w:pPr>
    <w:rPr>
      <w:szCs w:val="24"/>
    </w:rPr>
  </w:style>
  <w:style w:type="paragraph" w:customStyle="1" w:styleId="34">
    <w:name w:val="UserStyle_4"/>
    <w:qFormat/>
    <w:uiPriority w:val="0"/>
    <w:pPr>
      <w:jc w:val="both"/>
      <w:textAlignment w:val="baseline"/>
    </w:pPr>
    <w:rPr>
      <w:rFonts w:ascii="Times New Roman" w:hAnsi="Times New Roman" w:eastAsia="宋体" w:cs="Times New Roman"/>
      <w:kern w:val="2"/>
      <w:sz w:val="21"/>
      <w:lang w:val="en-US" w:eastAsia="zh-CN" w:bidi="ar-SA"/>
    </w:rPr>
  </w:style>
  <w:style w:type="paragraph" w:customStyle="1" w:styleId="35">
    <w:name w:val="179"/>
    <w:basedOn w:val="1"/>
    <w:qFormat/>
    <w:uiPriority w:val="0"/>
    <w:pPr>
      <w:ind w:firstLine="420" w:firstLineChars="200"/>
    </w:pPr>
    <w:rPr>
      <w:szCs w:val="24"/>
    </w:rPr>
  </w:style>
  <w:style w:type="table" w:customStyle="1" w:styleId="36">
    <w:name w:val="TableGrid"/>
    <w:basedOn w:val="22"/>
    <w:qFormat/>
    <w:uiPriority w:val="0"/>
    <w:tblPr>
      <w:tblCellMar>
        <w:top w:w="0" w:type="dxa"/>
        <w:left w:w="0" w:type="dxa"/>
        <w:bottom w:w="0" w:type="dxa"/>
        <w:right w:w="0" w:type="dxa"/>
      </w:tblCellMar>
    </w:tblPr>
  </w:style>
  <w:style w:type="paragraph" w:customStyle="1" w:styleId="37">
    <w:name w:val="列表段落1"/>
    <w:basedOn w:val="1"/>
    <w:qFormat/>
    <w:uiPriority w:val="99"/>
    <w:pPr>
      <w:adjustRightInd w:val="0"/>
      <w:snapToGrid w:val="0"/>
      <w:spacing w:after="200"/>
      <w:ind w:firstLine="420" w:firstLineChars="200"/>
      <w:jc w:val="left"/>
      <w:textAlignment w:val="auto"/>
    </w:pPr>
    <w:rPr>
      <w:rFonts w:ascii="Tahoma" w:hAnsi="Tahoma" w:eastAsia="微软雅黑" w:cstheme="minorBidi"/>
      <w:kern w:val="0"/>
      <w:sz w:val="22"/>
    </w:rPr>
  </w:style>
  <w:style w:type="paragraph" w:styleId="38">
    <w:name w:val="List Paragraph"/>
    <w:basedOn w:val="1"/>
    <w:qFormat/>
    <w:uiPriority w:val="34"/>
    <w:pPr>
      <w:widowControl w:val="0"/>
      <w:ind w:firstLine="420" w:firstLineChars="200"/>
      <w:textAlignment w:val="auto"/>
    </w:pPr>
    <w:rPr>
      <w:rFonts w:ascii="Calibri" w:hAnsi="Calibri"/>
    </w:rPr>
  </w:style>
  <w:style w:type="paragraph" w:customStyle="1" w:styleId="39">
    <w:name w:val="列出段落1"/>
    <w:basedOn w:val="1"/>
    <w:qFormat/>
    <w:uiPriority w:val="0"/>
    <w:pPr>
      <w:widowControl w:val="0"/>
      <w:ind w:firstLine="200" w:firstLineChars="200"/>
      <w:textAlignment w:val="auto"/>
    </w:pPr>
    <w:rPr>
      <w:szCs w:val="28"/>
    </w:rPr>
  </w:style>
  <w:style w:type="paragraph" w:customStyle="1" w:styleId="40">
    <w:name w:val="正文文字2"/>
    <w:basedOn w:val="2"/>
    <w:qFormat/>
    <w:uiPriority w:val="0"/>
    <w:pPr>
      <w:widowControl w:val="0"/>
      <w:adjustRightInd w:val="0"/>
      <w:spacing w:after="60" w:line="360" w:lineRule="atLeast"/>
      <w:ind w:left="72" w:leftChars="30" w:right="72" w:rightChars="30"/>
      <w:jc w:val="center"/>
      <w:textAlignment w:val="auto"/>
    </w:pPr>
    <w:rPr>
      <w:kern w:val="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1232</Words>
  <Characters>7028</Characters>
  <Lines>58</Lines>
  <Paragraphs>16</Paragraphs>
  <TotalTime>10</TotalTime>
  <ScaleCrop>false</ScaleCrop>
  <LinksUpToDate>false</LinksUpToDate>
  <CharactersWithSpaces>8244</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2020-11-09T10:00:00Z</dcterms:created>
  <dc:creator>Administrator</dc:creator>
  <cp:lastModifiedBy>晏子</cp:lastModifiedBy>
  <dcterms:modified xsi:type="dcterms:W3CDTF">2021-07-08T23:27:22Z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201F5AAA38C3488F9DFC64360CD919E6</vt:lpwstr>
  </property>
</Properties>
</file>