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tabs>
          <w:tab w:val="left" w:pos="3753"/>
        </w:tabs>
        <w:textAlignment w:val="auto"/>
        <w:rPr>
          <w:rFonts w:ascii="宋体" w:hAnsi="Courier New"/>
          <w:szCs w:val="20"/>
        </w:rPr>
      </w:pPr>
      <w:bookmarkStart w:id="0" w:name="_GoBack"/>
      <w:bookmarkEnd w:id="0"/>
    </w:p>
    <w:p>
      <w:pPr>
        <w:jc w:val="center"/>
        <w:rPr>
          <w:b/>
          <w:bCs/>
          <w:sz w:val="36"/>
          <w:szCs w:val="36"/>
        </w:rPr>
      </w:pPr>
      <w:r>
        <w:rPr>
          <w:rFonts w:hint="eastAsia"/>
          <w:b/>
          <w:bCs/>
          <w:sz w:val="36"/>
          <w:szCs w:val="36"/>
        </w:rPr>
        <w:t>市人民医院门诊8楼1号会议室LED显示屏项目</w:t>
      </w:r>
    </w:p>
    <w:p>
      <w:pPr>
        <w:jc w:val="center"/>
        <w:rPr>
          <w:b/>
          <w:bCs/>
          <w:sz w:val="36"/>
          <w:szCs w:val="36"/>
        </w:rPr>
      </w:pPr>
      <w:r>
        <w:rPr>
          <w:rFonts w:hint="eastAsia"/>
          <w:b/>
          <w:bCs/>
          <w:sz w:val="36"/>
          <w:szCs w:val="36"/>
        </w:rPr>
        <w:t>采购需求</w:t>
      </w:r>
    </w:p>
    <w:p>
      <w:pPr>
        <w:jc w:val="center"/>
        <w:rPr>
          <w:b/>
          <w:bCs/>
          <w:sz w:val="36"/>
          <w:szCs w:val="36"/>
        </w:rPr>
      </w:pPr>
    </w:p>
    <w:p>
      <w:pPr>
        <w:widowControl w:val="0"/>
        <w:numPr>
          <w:ilvl w:val="0"/>
          <w:numId w:val="1"/>
        </w:numPr>
        <w:textAlignment w:val="auto"/>
        <w:rPr>
          <w:sz w:val="30"/>
          <w:szCs w:val="30"/>
        </w:rPr>
      </w:pPr>
      <w:r>
        <w:rPr>
          <w:rFonts w:hint="eastAsia"/>
          <w:sz w:val="30"/>
          <w:szCs w:val="30"/>
        </w:rPr>
        <w:t>项目概况</w:t>
      </w:r>
    </w:p>
    <w:p>
      <w:pPr>
        <w:rPr>
          <w:sz w:val="28"/>
          <w:szCs w:val="28"/>
        </w:rPr>
      </w:pPr>
      <w:r>
        <w:rPr>
          <w:rFonts w:hint="eastAsia"/>
          <w:sz w:val="30"/>
          <w:szCs w:val="30"/>
        </w:rPr>
        <w:t xml:space="preserve">    市人民医院</w:t>
      </w:r>
      <w:r>
        <w:rPr>
          <w:rFonts w:hint="eastAsia" w:ascii="Calibri" w:hAnsi="Calibri"/>
          <w:sz w:val="28"/>
          <w:szCs w:val="36"/>
        </w:rPr>
        <w:t>门诊8楼1号会议室，主要承担院级会议、科教研培训、医疗学术交流等工作，</w:t>
      </w:r>
      <w:r>
        <w:rPr>
          <w:rFonts w:hint="eastAsia"/>
          <w:sz w:val="28"/>
          <w:szCs w:val="28"/>
        </w:rPr>
        <w:t>因工作需要，需要增加LED显示屏（20.5平方米）。主要应用于大型活动、会议内容的播放，会议室4台电视（已有）与显示屏的内容同时显示，LED显示屏的音频要求自动切放到会议室的音响设备，LED显示屏必须满足两种模式：a、整屏显示；b、会议模式，显示区域左右居中、自顶而下显示，显示尺寸4m*2.4m。未到现场调研者，表示认可本案。</w:t>
      </w:r>
    </w:p>
    <w:p>
      <w:pPr>
        <w:widowControl w:val="0"/>
        <w:numPr>
          <w:ilvl w:val="0"/>
          <w:numId w:val="1"/>
        </w:numPr>
        <w:textAlignment w:val="auto"/>
        <w:rPr>
          <w:sz w:val="30"/>
          <w:szCs w:val="30"/>
        </w:rPr>
      </w:pPr>
      <w:r>
        <w:rPr>
          <w:rFonts w:hint="eastAsia"/>
          <w:sz w:val="30"/>
          <w:szCs w:val="30"/>
        </w:rPr>
        <w:t>需求清单及参数要求</w:t>
      </w:r>
    </w:p>
    <w:tbl>
      <w:tblPr>
        <w:tblpPr w:leftFromText="180" w:rightFromText="180" w:vertAnchor="text" w:horzAnchor="page" w:tblpX="1376" w:tblpY="297"/>
        <w:tblOverlap w:val="never"/>
        <w:tblW w:w="91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46"/>
        <w:gridCol w:w="993"/>
        <w:gridCol w:w="5465"/>
        <w:gridCol w:w="891"/>
        <w:gridCol w:w="7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1046" w:type="dxa"/>
            <w:tcBorders>
              <w:top w:val="single" w:color="000000" w:sz="8" w:space="0"/>
              <w:left w:val="single" w:color="000000" w:sz="8" w:space="0"/>
              <w:bottom w:val="single" w:color="000000" w:sz="8" w:space="0"/>
              <w:right w:val="single" w:color="000000" w:sz="8" w:space="0"/>
            </w:tcBorders>
            <w:vAlign w:val="center"/>
          </w:tcPr>
          <w:p>
            <w:pPr>
              <w:pStyle w:val="22"/>
              <w:spacing w:line="320" w:lineRule="exact"/>
              <w:jc w:val="center"/>
              <w:rPr>
                <w:rStyle w:val="30"/>
                <w:rFonts w:ascii="宋体" w:hAnsi="宋体" w:eastAsia="宋体"/>
                <w:b/>
                <w:sz w:val="24"/>
                <w:szCs w:val="24"/>
              </w:rPr>
            </w:pPr>
            <w:r>
              <w:rPr>
                <w:rStyle w:val="30"/>
                <w:rFonts w:ascii="宋体" w:hAnsi="宋体" w:eastAsia="宋体"/>
                <w:b/>
                <w:sz w:val="24"/>
                <w:szCs w:val="24"/>
              </w:rPr>
              <w:t>序号</w:t>
            </w:r>
          </w:p>
        </w:tc>
        <w:tc>
          <w:tcPr>
            <w:tcW w:w="993" w:type="dxa"/>
            <w:tcBorders>
              <w:top w:val="single" w:color="000000" w:sz="8" w:space="0"/>
              <w:left w:val="single" w:color="000000" w:sz="8" w:space="0"/>
              <w:bottom w:val="single" w:color="000000" w:sz="8" w:space="0"/>
              <w:right w:val="single" w:color="000000" w:sz="8" w:space="0"/>
            </w:tcBorders>
            <w:vAlign w:val="center"/>
          </w:tcPr>
          <w:p>
            <w:pPr>
              <w:pStyle w:val="22"/>
              <w:spacing w:line="320" w:lineRule="exact"/>
              <w:jc w:val="center"/>
              <w:rPr>
                <w:rStyle w:val="30"/>
                <w:rFonts w:ascii="宋体" w:hAnsi="宋体" w:eastAsia="宋体"/>
                <w:b/>
                <w:sz w:val="24"/>
                <w:szCs w:val="24"/>
              </w:rPr>
            </w:pPr>
            <w:r>
              <w:rPr>
                <w:rStyle w:val="30"/>
                <w:rFonts w:ascii="宋体" w:hAnsi="宋体" w:eastAsia="宋体"/>
                <w:b/>
                <w:sz w:val="24"/>
                <w:szCs w:val="24"/>
              </w:rPr>
              <w:t>内容</w:t>
            </w:r>
          </w:p>
        </w:tc>
        <w:tc>
          <w:tcPr>
            <w:tcW w:w="6356" w:type="dxa"/>
            <w:gridSpan w:val="2"/>
            <w:tcBorders>
              <w:top w:val="single" w:color="000000" w:sz="8" w:space="0"/>
              <w:left w:val="single" w:color="000000" w:sz="8" w:space="0"/>
              <w:bottom w:val="single" w:color="000000" w:sz="8" w:space="0"/>
              <w:right w:val="single" w:color="000000" w:sz="8" w:space="0"/>
            </w:tcBorders>
            <w:vAlign w:val="center"/>
          </w:tcPr>
          <w:p>
            <w:pPr>
              <w:pStyle w:val="22"/>
              <w:spacing w:line="320" w:lineRule="exact"/>
              <w:jc w:val="center"/>
              <w:rPr>
                <w:rStyle w:val="30"/>
                <w:rFonts w:ascii="宋体" w:hAnsi="宋体" w:eastAsia="宋体"/>
                <w:b/>
                <w:sz w:val="24"/>
                <w:szCs w:val="24"/>
              </w:rPr>
            </w:pPr>
            <w:r>
              <w:rPr>
                <w:rStyle w:val="30"/>
                <w:rFonts w:ascii="宋体" w:hAnsi="宋体" w:eastAsia="宋体"/>
                <w:b/>
                <w:sz w:val="24"/>
                <w:szCs w:val="24"/>
              </w:rPr>
              <w:t>型号及规格</w:t>
            </w:r>
          </w:p>
        </w:tc>
        <w:tc>
          <w:tcPr>
            <w:tcW w:w="786" w:type="dxa"/>
            <w:tcBorders>
              <w:top w:val="single" w:color="000000" w:sz="8" w:space="0"/>
              <w:left w:val="single" w:color="000000" w:sz="8" w:space="0"/>
              <w:bottom w:val="single" w:color="000000" w:sz="8" w:space="0"/>
              <w:right w:val="single" w:color="000000" w:sz="8" w:space="0"/>
            </w:tcBorders>
            <w:vAlign w:val="center"/>
          </w:tcPr>
          <w:p>
            <w:pPr>
              <w:pStyle w:val="22"/>
              <w:spacing w:line="320" w:lineRule="exact"/>
              <w:jc w:val="center"/>
              <w:rPr>
                <w:rStyle w:val="30"/>
                <w:rFonts w:ascii="宋体" w:hAnsi="宋体" w:eastAsia="宋体"/>
                <w:b/>
                <w:sz w:val="24"/>
                <w:szCs w:val="24"/>
              </w:rPr>
            </w:pPr>
            <w:r>
              <w:rPr>
                <w:rStyle w:val="30"/>
                <w:rFonts w:ascii="宋体" w:hAnsi="宋体" w:eastAsia="宋体"/>
                <w:b/>
                <w:sz w:val="24"/>
                <w:szCs w:val="24"/>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9"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ascii="宋体" w:hAnsi="宋体" w:eastAsia="宋体"/>
                <w:kern w:val="0"/>
                <w:sz w:val="24"/>
                <w:szCs w:val="24"/>
              </w:rPr>
              <w:t>1</w:t>
            </w:r>
          </w:p>
        </w:tc>
        <w:tc>
          <w:tcPr>
            <w:tcW w:w="993" w:type="dxa"/>
            <w:tcBorders>
              <w:top w:val="single" w:color="000000" w:sz="4" w:space="0"/>
              <w:left w:val="single" w:color="000000" w:sz="4" w:space="0"/>
              <w:bottom w:val="single" w:color="000000" w:sz="4" w:space="0"/>
              <w:right w:val="single" w:color="000000" w:sz="4" w:space="0"/>
            </w:tcBorders>
            <w:vAlign w:val="center"/>
          </w:tcPr>
          <w:p>
            <w:pPr>
              <w:jc w:val="left"/>
              <w:rPr>
                <w:rStyle w:val="30"/>
                <w:rFonts w:ascii="宋体" w:hAnsi="宋体" w:eastAsia="宋体"/>
                <w:kern w:val="0"/>
                <w:sz w:val="24"/>
                <w:szCs w:val="24"/>
              </w:rPr>
            </w:pPr>
            <w:r>
              <w:rPr>
                <w:rFonts w:hint="eastAsia"/>
                <w:sz w:val="24"/>
                <w:szCs w:val="24"/>
              </w:rPr>
              <w:t>▲</w:t>
            </w:r>
            <w:r>
              <w:rPr>
                <w:rStyle w:val="30"/>
                <w:rFonts w:ascii="宋体" w:hAnsi="宋体" w:eastAsia="宋体"/>
                <w:color w:val="000000"/>
                <w:kern w:val="0"/>
                <w:sz w:val="24"/>
                <w:szCs w:val="24"/>
              </w:rPr>
              <w:t>室内全彩</w:t>
            </w:r>
            <w:r>
              <w:rPr>
                <w:rStyle w:val="30"/>
                <w:rFonts w:hint="eastAsia" w:ascii="宋体" w:hAnsi="宋体" w:eastAsia="宋体"/>
                <w:color w:val="000000"/>
                <w:kern w:val="0"/>
                <w:sz w:val="24"/>
                <w:szCs w:val="24"/>
              </w:rPr>
              <w:t>2.0显示屏</w:t>
            </w:r>
          </w:p>
        </w:tc>
        <w:tc>
          <w:tcPr>
            <w:tcW w:w="6356"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sz w:val="24"/>
                <w:szCs w:val="24"/>
              </w:rPr>
            </w:pPr>
            <w:r>
              <w:rPr>
                <w:rFonts w:hint="eastAsia" w:ascii="宋体" w:hAnsi="宋体" w:eastAsia="宋体"/>
                <w:sz w:val="24"/>
                <w:szCs w:val="24"/>
              </w:rPr>
              <w:t>★1、显示屏尺寸为宽≥6.72m，高≥3.04m，显示面积≥20.5㎡，分辨率≥3360×1520，长宽尺寸和面积不小于规定像素点间距≤2.0mm尺寸</w:t>
            </w:r>
          </w:p>
          <w:p>
            <w:pPr>
              <w:rPr>
                <w:rFonts w:ascii="宋体" w:hAnsi="宋体" w:eastAsia="宋体" w:cs="宋体"/>
                <w:color w:val="000000"/>
                <w:sz w:val="24"/>
                <w:szCs w:val="24"/>
              </w:rPr>
            </w:pPr>
            <w:r>
              <w:rPr>
                <w:rFonts w:hint="eastAsia" w:ascii="宋体" w:hAnsi="宋体" w:eastAsia="宋体"/>
                <w:sz w:val="24"/>
                <w:szCs w:val="24"/>
              </w:rPr>
              <w:t>2、LED显示屏必须满足两种模式：a、整屏显示；b、会议模式:显示区域左右居中、自顶而下显示，显示尺寸4m*2.4m。</w:t>
            </w:r>
            <w:r>
              <w:rPr>
                <w:rFonts w:hint="eastAsia" w:ascii="宋体" w:hAnsi="宋体" w:eastAsia="宋体" w:cs="宋体"/>
                <w:color w:val="000000"/>
                <w:sz w:val="24"/>
                <w:szCs w:val="24"/>
              </w:rPr>
              <w:br/>
            </w:r>
            <w:r>
              <w:rPr>
                <w:rFonts w:hint="eastAsia" w:ascii="宋体" w:hAnsi="宋体" w:eastAsia="宋体" w:cs="宋体"/>
                <w:color w:val="000000"/>
                <w:sz w:val="24"/>
                <w:szCs w:val="24"/>
              </w:rPr>
              <w:t>3、整屏平整度:≤0.1mm，拼接接缝:≤0.045mm；</w:t>
            </w:r>
          </w:p>
          <w:p>
            <w:pPr>
              <w:contextualSpacing/>
              <w:jc w:val="left"/>
              <w:rPr>
                <w:rFonts w:ascii="宋体" w:hAnsi="宋体" w:eastAsia="宋体" w:cs="宋体"/>
                <w:color w:val="000000"/>
                <w:sz w:val="24"/>
                <w:szCs w:val="24"/>
              </w:rPr>
            </w:pPr>
            <w:r>
              <w:rPr>
                <w:rFonts w:hint="eastAsia" w:ascii="宋体" w:hAnsi="宋体" w:eastAsia="宋体" w:cs="宋体"/>
                <w:color w:val="000000"/>
                <w:sz w:val="24"/>
                <w:szCs w:val="24"/>
              </w:rPr>
              <w:t>4、采用恒流驱动,灯驱合一,具有列下消隐功能、倍频刷新提升2/4/8倍、低灰偏色改善,具有单点亮度/颜色校正功能；</w:t>
            </w:r>
          </w:p>
          <w:p>
            <w:pPr>
              <w:jc w:val="left"/>
              <w:rPr>
                <w:rFonts w:ascii="宋体" w:hAnsi="宋体" w:eastAsia="宋体" w:cs="宋体"/>
                <w:color w:val="000000"/>
                <w:sz w:val="24"/>
                <w:szCs w:val="24"/>
              </w:rPr>
            </w:pPr>
            <w:r>
              <w:rPr>
                <w:rFonts w:hint="eastAsia" w:ascii="宋体" w:hAnsi="宋体" w:eastAsia="宋体"/>
                <w:sz w:val="24"/>
                <w:szCs w:val="24"/>
              </w:rPr>
              <w:t>★</w:t>
            </w:r>
            <w:r>
              <w:rPr>
                <w:rFonts w:hint="eastAsia" w:ascii="宋体" w:hAnsi="宋体" w:eastAsia="宋体" w:cs="宋体"/>
                <w:color w:val="000000"/>
                <w:sz w:val="24"/>
                <w:szCs w:val="24"/>
              </w:rPr>
              <w:t>5、整屏亮度:0-1500cd/㎡可调，具有蓝光抑制功能；</w:t>
            </w:r>
            <w:r>
              <w:rPr>
                <w:rFonts w:ascii="宋体" w:hAnsi="宋体" w:eastAsia="宋体" w:cs="宋体"/>
                <w:color w:val="000000"/>
                <w:sz w:val="24"/>
                <w:szCs w:val="24"/>
              </w:rPr>
              <w:br/>
            </w:r>
            <w:r>
              <w:rPr>
                <w:rFonts w:hint="eastAsia" w:ascii="宋体" w:hAnsi="宋体" w:eastAsia="宋体" w:cs="宋体"/>
                <w:color w:val="000000"/>
                <w:sz w:val="24"/>
                <w:szCs w:val="24"/>
              </w:rPr>
              <w:t>6、色温:1000K到10000K可调,色温为6500K时,100%、75%、50%、25%四档电平白场调节色温误差＜100K；</w:t>
            </w:r>
          </w:p>
          <w:p>
            <w:pPr>
              <w:jc w:val="left"/>
              <w:rPr>
                <w:rFonts w:ascii="宋体" w:hAnsi="宋体" w:eastAsia="宋体" w:cs="宋体"/>
                <w:color w:val="000000"/>
                <w:sz w:val="24"/>
                <w:szCs w:val="24"/>
              </w:rPr>
            </w:pPr>
            <w:r>
              <w:rPr>
                <w:rFonts w:hint="eastAsia" w:ascii="宋体" w:hAnsi="宋体" w:eastAsia="宋体" w:cs="宋体"/>
                <w:color w:val="000000"/>
                <w:sz w:val="24"/>
                <w:szCs w:val="24"/>
              </w:rPr>
              <w:t>7、色度均匀性:±0.002Cx,Cy之内；</w:t>
            </w:r>
          </w:p>
          <w:p>
            <w:pPr>
              <w:jc w:val="left"/>
              <w:rPr>
                <w:rFonts w:ascii="宋体" w:hAnsi="宋体" w:eastAsia="宋体" w:cs="宋体"/>
                <w:color w:val="000000"/>
                <w:sz w:val="24"/>
                <w:szCs w:val="24"/>
              </w:rPr>
            </w:pPr>
            <w:r>
              <w:rPr>
                <w:rFonts w:hint="eastAsia" w:ascii="宋体" w:hAnsi="宋体" w:eastAsia="宋体" w:cs="宋体"/>
                <w:color w:val="000000"/>
                <w:sz w:val="24"/>
                <w:szCs w:val="24"/>
              </w:rPr>
              <w:t>8、水平视角:≥170°垂直视角≥170°,对比度:≥8000:1</w:t>
            </w:r>
          </w:p>
          <w:p>
            <w:pPr>
              <w:jc w:val="left"/>
              <w:rPr>
                <w:rFonts w:ascii="宋体" w:hAnsi="宋体" w:eastAsia="宋体" w:cs="宋体"/>
                <w:color w:val="000000"/>
                <w:sz w:val="24"/>
                <w:szCs w:val="24"/>
              </w:rPr>
            </w:pPr>
            <w:r>
              <w:rPr>
                <w:rFonts w:hint="eastAsia" w:ascii="宋体" w:hAnsi="宋体" w:eastAsia="宋体"/>
                <w:sz w:val="24"/>
                <w:szCs w:val="24"/>
              </w:rPr>
              <w:t>★</w:t>
            </w:r>
            <w:r>
              <w:rPr>
                <w:rFonts w:hint="eastAsia" w:ascii="宋体" w:hAnsi="宋体" w:eastAsia="宋体" w:cs="宋体"/>
                <w:color w:val="000000"/>
                <w:sz w:val="24"/>
                <w:szCs w:val="24"/>
              </w:rPr>
              <w:t>9、调节软件设置项:支持鬼影消除、第一扫偏暗消除、低灰偏色补偿、低灰均匀性、低灰横条纹消除、慢速开启、十字架消除、去除坏点、毛毛虫消除、余辉消除、亮度缓慢变亮；</w:t>
            </w:r>
          </w:p>
          <w:p>
            <w:pPr>
              <w:jc w:val="left"/>
              <w:rPr>
                <w:rFonts w:ascii="宋体" w:hAnsi="宋体" w:eastAsia="宋体" w:cs="宋体"/>
                <w:color w:val="000000"/>
                <w:sz w:val="24"/>
                <w:szCs w:val="24"/>
              </w:rPr>
            </w:pPr>
            <w:r>
              <w:rPr>
                <w:rFonts w:hint="eastAsia" w:ascii="宋体" w:hAnsi="宋体" w:eastAsia="宋体" w:cs="宋体"/>
                <w:color w:val="000000"/>
                <w:sz w:val="24"/>
                <w:szCs w:val="24"/>
              </w:rPr>
              <w:t>10、亮度均匀性:≥99%,亮度鉴别等级:≥20级；</w:t>
            </w:r>
          </w:p>
          <w:p>
            <w:pPr>
              <w:contextualSpacing/>
              <w:jc w:val="left"/>
              <w:rPr>
                <w:rFonts w:ascii="宋体" w:hAnsi="宋体" w:eastAsia="宋体" w:cs="宋体"/>
                <w:color w:val="000000"/>
                <w:sz w:val="24"/>
                <w:szCs w:val="24"/>
              </w:rPr>
            </w:pPr>
            <w:r>
              <w:rPr>
                <w:rFonts w:hint="eastAsia" w:ascii="宋体" w:hAnsi="宋体" w:eastAsia="宋体" w:cs="宋体"/>
                <w:color w:val="000000"/>
                <w:sz w:val="24"/>
                <w:szCs w:val="24"/>
              </w:rPr>
              <w:t>11、像素失控率:≤0.00001, NTSC色域覆盖率:≥120%；</w:t>
            </w:r>
          </w:p>
          <w:p>
            <w:pPr>
              <w:contextualSpacing/>
              <w:jc w:val="left"/>
              <w:rPr>
                <w:rFonts w:ascii="宋体" w:hAnsi="宋体" w:eastAsia="宋体" w:cs="宋体"/>
                <w:color w:val="000000"/>
                <w:sz w:val="24"/>
                <w:szCs w:val="24"/>
              </w:rPr>
            </w:pPr>
            <w:r>
              <w:rPr>
                <w:rFonts w:hint="eastAsia" w:ascii="宋体" w:hAnsi="宋体" w:eastAsia="宋体" w:cs="宋体"/>
                <w:color w:val="000000"/>
                <w:sz w:val="24"/>
                <w:szCs w:val="24"/>
              </w:rPr>
              <w:t>12、发光点中心距偏差:＜1%,反光率:≤2%,画面延时:≤2ms；</w:t>
            </w:r>
          </w:p>
          <w:p>
            <w:pPr>
              <w:jc w:val="left"/>
              <w:rPr>
                <w:rFonts w:ascii="宋体" w:hAnsi="宋体" w:eastAsia="宋体" w:cs="宋体"/>
                <w:color w:val="000000"/>
                <w:sz w:val="24"/>
                <w:szCs w:val="24"/>
              </w:rPr>
            </w:pPr>
            <w:r>
              <w:rPr>
                <w:rFonts w:hint="eastAsia" w:ascii="宋体" w:hAnsi="宋体" w:eastAsia="宋体" w:cs="宋体"/>
                <w:color w:val="000000"/>
                <w:sz w:val="24"/>
                <w:szCs w:val="24"/>
              </w:rPr>
              <w:t>13、噪音:1m范围内,测试4个位置(前后左右),噪声不大于2dB,信噪比:≥47dB；</w:t>
            </w:r>
          </w:p>
          <w:p>
            <w:pPr>
              <w:jc w:val="left"/>
              <w:rPr>
                <w:rFonts w:ascii="宋体" w:hAnsi="宋体" w:eastAsia="宋体" w:cs="宋体"/>
                <w:color w:val="000000"/>
                <w:sz w:val="24"/>
                <w:szCs w:val="24"/>
              </w:rPr>
            </w:pPr>
            <w:r>
              <w:rPr>
                <w:rFonts w:hint="eastAsia" w:ascii="宋体" w:hAnsi="宋体" w:eastAsia="宋体" w:cs="宋体"/>
                <w:color w:val="000000"/>
                <w:sz w:val="24"/>
                <w:szCs w:val="24"/>
              </w:rPr>
              <w:t>14、平均功耗:≤180W/㎡,峰值功耗:≤500W/㎡；</w:t>
            </w:r>
            <w:r>
              <w:rPr>
                <w:rFonts w:hint="eastAsia" w:ascii="宋体" w:hAnsi="宋体" w:eastAsia="宋体" w:cs="宋体"/>
                <w:color w:val="000000"/>
                <w:sz w:val="24"/>
                <w:szCs w:val="24"/>
              </w:rPr>
              <w:br/>
            </w:r>
            <w:r>
              <w:rPr>
                <w:rFonts w:hint="eastAsia" w:ascii="宋体" w:hAnsi="宋体" w:eastAsia="宋体" w:cs="宋体"/>
                <w:color w:val="000000"/>
                <w:sz w:val="24"/>
                <w:szCs w:val="24"/>
              </w:rPr>
              <w:t>15、使用寿命:≥100000小时,衰减率:≤15%(工作三年)；</w:t>
            </w:r>
          </w:p>
          <w:p>
            <w:pPr>
              <w:jc w:val="left"/>
              <w:rPr>
                <w:rFonts w:ascii="宋体" w:hAnsi="宋体" w:eastAsia="宋体" w:cs="宋体"/>
                <w:color w:val="000000"/>
                <w:sz w:val="24"/>
                <w:szCs w:val="24"/>
              </w:rPr>
            </w:pPr>
            <w:r>
              <w:rPr>
                <w:rFonts w:hint="eastAsia" w:ascii="宋体" w:hAnsi="宋体" w:eastAsia="宋体" w:cs="宋体"/>
                <w:color w:val="000000"/>
                <w:sz w:val="24"/>
                <w:szCs w:val="24"/>
              </w:rPr>
              <w:t>16、供电电源:在220(1±10%)V、(50±1)Hz或380(1±10%)V、(50±1)Hz条件下正常工作, 电流增益调节级:≥10位；</w:t>
            </w:r>
          </w:p>
          <w:p>
            <w:pPr>
              <w:contextualSpacing/>
              <w:jc w:val="left"/>
              <w:rPr>
                <w:rFonts w:ascii="宋体" w:hAnsi="宋体" w:eastAsia="宋体" w:cs="宋体"/>
                <w:color w:val="000000"/>
                <w:sz w:val="24"/>
                <w:szCs w:val="24"/>
              </w:rPr>
            </w:pPr>
            <w:r>
              <w:rPr>
                <w:rFonts w:hint="eastAsia" w:ascii="宋体" w:hAnsi="宋体" w:eastAsia="宋体" w:cs="宋体"/>
                <w:color w:val="000000"/>
                <w:sz w:val="24"/>
                <w:szCs w:val="24"/>
              </w:rPr>
              <w:t>17、内置电源具备PFC功能,功率因素≥0.95；</w:t>
            </w:r>
          </w:p>
          <w:p>
            <w:pPr>
              <w:contextualSpacing/>
              <w:jc w:val="left"/>
              <w:rPr>
                <w:rFonts w:ascii="宋体" w:hAnsi="宋体" w:eastAsia="宋体" w:cs="宋体"/>
                <w:color w:val="000000"/>
                <w:sz w:val="24"/>
                <w:szCs w:val="24"/>
              </w:rPr>
            </w:pPr>
            <w:r>
              <w:rPr>
                <w:rFonts w:hint="eastAsia" w:ascii="宋体" w:hAnsi="宋体" w:eastAsia="宋体" w:cs="宋体"/>
                <w:color w:val="000000"/>
                <w:sz w:val="24"/>
                <w:szCs w:val="24"/>
              </w:rPr>
              <w:t>18、</w:t>
            </w:r>
            <w:r>
              <w:rPr>
                <w:rFonts w:hint="eastAsia" w:ascii="宋体" w:hAnsi="宋体" w:eastAsia="宋体"/>
                <w:kern w:val="0"/>
                <w:sz w:val="24"/>
                <w:szCs w:val="24"/>
              </w:rPr>
              <w:t>所投产品的</w:t>
            </w:r>
            <w:r>
              <w:rPr>
                <w:rFonts w:hint="eastAsia" w:ascii="宋体" w:hAnsi="宋体" w:eastAsia="宋体" w:cs="宋体"/>
                <w:color w:val="000000"/>
                <w:sz w:val="24"/>
                <w:szCs w:val="24"/>
              </w:rPr>
              <w:t>模组在最大亮度白色连续工作2小时后,表面温升＜20℃,将受试样品放入-20℃环境中,通电工作8h,再恢复到常温,试验中、试验后受试样品外观结构和功能均应正常；</w:t>
            </w:r>
          </w:p>
          <w:p>
            <w:pPr>
              <w:contextualSpacing/>
              <w:jc w:val="left"/>
              <w:rPr>
                <w:rFonts w:ascii="宋体" w:hAnsi="宋体" w:eastAsia="宋体"/>
                <w:sz w:val="24"/>
                <w:szCs w:val="24"/>
              </w:rPr>
            </w:pPr>
            <w:r>
              <w:rPr>
                <w:rFonts w:hint="eastAsia" w:ascii="宋体" w:hAnsi="宋体" w:eastAsia="宋体" w:cs="宋体"/>
                <w:sz w:val="24"/>
                <w:szCs w:val="24"/>
                <w:lang w:val="en-US" w:eastAsia="zh-CN"/>
              </w:rPr>
              <w:t>19</w:t>
            </w:r>
            <w:r>
              <w:rPr>
                <w:rFonts w:hint="eastAsia" w:ascii="宋体" w:hAnsi="宋体" w:eastAsia="宋体" w:cs="宋体"/>
                <w:sz w:val="24"/>
                <w:szCs w:val="24"/>
              </w:rPr>
              <w:t>、</w:t>
            </w:r>
            <w:r>
              <w:rPr>
                <w:rFonts w:hint="eastAsia" w:ascii="宋体" w:hAnsi="宋体" w:eastAsia="宋体"/>
                <w:sz w:val="24"/>
                <w:szCs w:val="24"/>
              </w:rPr>
              <w:t>投标产品MTBF平均无故障工作时间≥</w:t>
            </w:r>
            <w:r>
              <w:rPr>
                <w:rFonts w:hint="eastAsia" w:ascii="宋体" w:hAnsi="宋体" w:eastAsia="宋体"/>
                <w:sz w:val="24"/>
                <w:szCs w:val="24"/>
                <w:lang w:val="en-US" w:eastAsia="zh-CN"/>
              </w:rPr>
              <w:t>1</w:t>
            </w:r>
            <w:r>
              <w:rPr>
                <w:rFonts w:hint="eastAsia" w:ascii="宋体" w:hAnsi="宋体" w:eastAsia="宋体"/>
                <w:sz w:val="24"/>
                <w:szCs w:val="24"/>
              </w:rPr>
              <w:t>0000小时,MTTR平均修复时间≤25分钟；</w:t>
            </w:r>
          </w:p>
          <w:p>
            <w:pPr>
              <w:contextualSpacing/>
              <w:jc w:val="left"/>
              <w:rPr>
                <w:rStyle w:val="30"/>
                <w:rFonts w:ascii="宋体" w:hAnsi="宋体" w:eastAsia="宋体"/>
                <w:sz w:val="24"/>
                <w:szCs w:val="24"/>
              </w:rPr>
            </w:pPr>
            <w:r>
              <w:rPr>
                <w:rFonts w:hint="eastAsia" w:ascii="宋体" w:hAnsi="宋体" w:eastAsia="宋体"/>
                <w:sz w:val="24"/>
                <w:szCs w:val="24"/>
              </w:rPr>
              <w:t>★</w:t>
            </w:r>
            <w:r>
              <w:rPr>
                <w:rFonts w:hint="eastAsia" w:ascii="宋体" w:hAnsi="宋体" w:eastAsia="宋体" w:cs="宋体"/>
                <w:sz w:val="24"/>
                <w:szCs w:val="24"/>
              </w:rPr>
              <w:t>2</w:t>
            </w: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kern w:val="0"/>
                <w:sz w:val="24"/>
                <w:szCs w:val="24"/>
              </w:rPr>
              <w:t>所投LED 产品需</w:t>
            </w:r>
            <w:r>
              <w:rPr>
                <w:rFonts w:hint="eastAsia" w:ascii="宋体" w:hAnsi="宋体" w:eastAsia="宋体" w:cs="黑体"/>
                <w:kern w:val="0"/>
                <w:sz w:val="24"/>
                <w:szCs w:val="24"/>
              </w:rPr>
              <w:t>依据标准进行光生物安全及蓝光危害评估检测,无危害类:在8h(30000s)曝辐中不造成光化学紫外危害(ES),并且在1000s(约16min)内不造成近紫外危害(EUVA),并在10000s(约2.8h)内不造成对视网膜蓝光危害(LB)并在10s内不造成对视网膜热危害(LR),并在1000s内不造成对眼睛的红外辐射危害(EIR)；</w:t>
            </w:r>
          </w:p>
        </w:tc>
        <w:tc>
          <w:tcPr>
            <w:tcW w:w="78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20.5</w:t>
            </w:r>
            <w:r>
              <w:rPr>
                <w:rStyle w:val="30"/>
                <w:rFonts w:ascii="宋体" w:hAnsi="宋体" w:eastAsia="宋体"/>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9"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2</w:t>
            </w:r>
          </w:p>
        </w:tc>
        <w:tc>
          <w:tcPr>
            <w:tcW w:w="993"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sz w:val="24"/>
                <w:szCs w:val="24"/>
              </w:rPr>
            </w:pPr>
            <w:r>
              <w:rPr>
                <w:rFonts w:ascii="宋体" w:hAnsi="宋体" w:eastAsia="宋体" w:cs="宋体"/>
                <w:sz w:val="24"/>
                <w:szCs w:val="24"/>
              </w:rPr>
              <w:t>控制系统</w:t>
            </w:r>
          </w:p>
        </w:tc>
        <w:tc>
          <w:tcPr>
            <w:tcW w:w="6356" w:type="dxa"/>
            <w:gridSpan w:val="2"/>
            <w:tcBorders>
              <w:top w:val="single" w:color="000000" w:sz="4" w:space="0"/>
              <w:left w:val="single" w:color="000000" w:sz="4" w:space="0"/>
              <w:bottom w:val="single" w:color="000000" w:sz="4" w:space="0"/>
              <w:right w:val="single" w:color="000000" w:sz="4" w:space="0"/>
            </w:tcBorders>
            <w:vAlign w:val="center"/>
          </w:tcPr>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1、单卡支持16组和32组数据输出模式；</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2、单卡自带16个HUB75  16P接口；</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3、单卡带载像素128*1024/256*512。</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4、支持逐点亮色度校正、多批次、亮暗线调节和显示屏效果调节等功能，与3D控制器搭配支持3D效果；</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5、支持接收卡预存画面和保留最后一帧设置；</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6、支持灯板flash管理；</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7、支持5pin液晶模块；</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8、支持Mapping功能；</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9、支持3D功能；</w:t>
            </w:r>
          </w:p>
          <w:p>
            <w:pPr>
              <w:pStyle w:val="26"/>
              <w:ind w:firstLine="0" w:firstLineChars="0"/>
              <w:rPr>
                <w:rFonts w:hint="eastAsia" w:ascii="宋体" w:hAnsi="宋体" w:eastAsia="宋体" w:cs="黑体"/>
                <w:kern w:val="0"/>
                <w:sz w:val="24"/>
                <w:szCs w:val="24"/>
                <w:lang w:val="en-US" w:eastAsia="zh-CN" w:bidi="ar-SA"/>
              </w:rPr>
            </w:pPr>
            <w:r>
              <w:rPr>
                <w:rFonts w:hint="eastAsia" w:ascii="宋体" w:hAnsi="宋体" w:eastAsia="宋体" w:cs="黑体"/>
                <w:kern w:val="0"/>
                <w:sz w:val="24"/>
                <w:szCs w:val="24"/>
                <w:lang w:val="en-US" w:eastAsia="zh-CN" w:bidi="ar-SA"/>
              </w:rPr>
              <w:t>10、支持接收卡温度电压自检；</w:t>
            </w:r>
          </w:p>
          <w:p>
            <w:pPr>
              <w:pStyle w:val="26"/>
              <w:ind w:firstLine="0" w:firstLineChars="0"/>
              <w:rPr>
                <w:rFonts w:ascii="宋体" w:hAnsi="宋体" w:eastAsia="宋体" w:cs="宋体"/>
                <w:sz w:val="24"/>
                <w:szCs w:val="24"/>
              </w:rPr>
            </w:pPr>
            <w:r>
              <w:rPr>
                <w:rFonts w:hint="eastAsia" w:ascii="宋体" w:hAnsi="宋体" w:eastAsia="宋体" w:cs="黑体"/>
                <w:kern w:val="0"/>
                <w:sz w:val="24"/>
                <w:szCs w:val="24"/>
                <w:lang w:val="en-US" w:eastAsia="zh-CN" w:bidi="ar-SA"/>
              </w:rPr>
              <w:t>11、支持千兆网，可通过网线直接连接PC端进行调试和显示；12、支持接收卡参数及程序包回读，接收卡具有与灯板一致的电源接口；</w:t>
            </w:r>
          </w:p>
        </w:tc>
        <w:tc>
          <w:tcPr>
            <w:tcW w:w="78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1</w:t>
            </w:r>
            <w:r>
              <w:rPr>
                <w:rStyle w:val="30"/>
                <w:rFonts w:ascii="宋体" w:hAnsi="宋体" w:eastAsia="宋体"/>
                <w:kern w:val="0"/>
                <w:sz w:val="24"/>
                <w:szCs w:val="24"/>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59"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pStyle w:val="2"/>
              <w:rPr>
                <w:rStyle w:val="30"/>
                <w:rFonts w:ascii="宋体" w:hAnsi="宋体" w:eastAsia="宋体"/>
                <w:kern w:val="0"/>
                <w:sz w:val="24"/>
                <w:szCs w:val="24"/>
              </w:rPr>
            </w:pPr>
            <w:r>
              <w:rPr>
                <w:rStyle w:val="30"/>
                <w:rFonts w:hint="eastAsia" w:ascii="宋体" w:hAnsi="宋体" w:eastAsia="宋体"/>
                <w:kern w:val="0"/>
                <w:sz w:val="24"/>
                <w:szCs w:val="24"/>
              </w:rPr>
              <w:t>3</w:t>
            </w:r>
          </w:p>
        </w:tc>
        <w:tc>
          <w:tcPr>
            <w:tcW w:w="993"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exact"/>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视频处理器</w:t>
            </w:r>
          </w:p>
        </w:tc>
        <w:tc>
          <w:tcPr>
            <w:tcW w:w="6356" w:type="dxa"/>
            <w:gridSpan w:val="2"/>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olor w:val="000000"/>
                <w:sz w:val="24"/>
                <w:szCs w:val="24"/>
              </w:rPr>
            </w:pPr>
            <w:r>
              <w:rPr>
                <w:rFonts w:hint="eastAsia" w:ascii="宋体" w:hAnsi="宋体"/>
                <w:color w:val="000000"/>
                <w:sz w:val="24"/>
                <w:szCs w:val="24"/>
                <w:lang w:val="en-US" w:eastAsia="zh-CN"/>
              </w:rPr>
              <w:t>1、</w:t>
            </w:r>
            <w:r>
              <w:rPr>
                <w:rFonts w:hint="eastAsia" w:ascii="宋体" w:hAnsi="宋体"/>
                <w:color w:val="000000"/>
                <w:sz w:val="24"/>
                <w:szCs w:val="24"/>
              </w:rPr>
              <w:t>最大带载 650 万像素，单台设备输出最大宽度 10240，高度 8192</w:t>
            </w:r>
          </w:p>
          <w:p>
            <w:pPr>
              <w:rPr>
                <w:rFonts w:hint="eastAsia" w:ascii="宋体" w:hAnsi="宋体"/>
                <w:color w:val="000000"/>
                <w:sz w:val="24"/>
                <w:szCs w:val="24"/>
              </w:rPr>
            </w:pPr>
            <w:r>
              <w:rPr>
                <w:rFonts w:hint="eastAsia" w:ascii="宋体" w:hAnsi="宋体"/>
                <w:color w:val="000000"/>
                <w:sz w:val="24"/>
                <w:szCs w:val="24"/>
                <w:lang w:val="en-US" w:eastAsia="zh-CN"/>
              </w:rPr>
              <w:t>2、</w:t>
            </w:r>
            <w:r>
              <w:rPr>
                <w:rFonts w:hint="eastAsia" w:ascii="宋体" w:hAnsi="宋体"/>
                <w:color w:val="000000"/>
                <w:sz w:val="24"/>
                <w:szCs w:val="24"/>
              </w:rPr>
              <w:t>1 路 HDMI 1.3 输出接口可用作输出预监或视频输出</w:t>
            </w:r>
          </w:p>
          <w:p>
            <w:pPr>
              <w:rPr>
                <w:rFonts w:hint="eastAsia" w:ascii="宋体" w:hAnsi="宋体"/>
                <w:color w:val="000000"/>
                <w:sz w:val="24"/>
                <w:szCs w:val="24"/>
              </w:rPr>
            </w:pPr>
            <w:r>
              <w:rPr>
                <w:rFonts w:hint="eastAsia" w:ascii="宋体" w:hAnsi="宋体"/>
                <w:color w:val="000000"/>
                <w:sz w:val="24"/>
                <w:szCs w:val="24"/>
                <w:lang w:val="en-US" w:eastAsia="zh-CN"/>
              </w:rPr>
              <w:t>3、</w:t>
            </w:r>
            <w:r>
              <w:rPr>
                <w:rFonts w:hint="eastAsia" w:ascii="宋体" w:hAnsi="宋体"/>
                <w:color w:val="000000"/>
                <w:sz w:val="24"/>
                <w:szCs w:val="24"/>
              </w:rPr>
              <w:t>支持 HDMI 伴随音频输入</w:t>
            </w:r>
            <w:r>
              <w:rPr>
                <w:rFonts w:hint="eastAsia" w:ascii="宋体" w:hAnsi="宋体"/>
                <w:color w:val="000000"/>
                <w:sz w:val="24"/>
                <w:szCs w:val="24"/>
                <w:lang w:eastAsia="zh-CN"/>
              </w:rPr>
              <w:t>，</w:t>
            </w:r>
            <w:r>
              <w:rPr>
                <w:rFonts w:hint="eastAsia" w:ascii="宋体" w:hAnsi="宋体"/>
                <w:color w:val="000000"/>
                <w:sz w:val="24"/>
                <w:szCs w:val="24"/>
              </w:rPr>
              <w:t xml:space="preserve"> 3.5mm 独立音频输入</w:t>
            </w:r>
            <w:r>
              <w:rPr>
                <w:rFonts w:hint="eastAsia" w:ascii="宋体" w:hAnsi="宋体"/>
                <w:color w:val="000000"/>
                <w:sz w:val="24"/>
                <w:szCs w:val="24"/>
                <w:lang w:eastAsia="zh-CN"/>
              </w:rPr>
              <w:t>，</w:t>
            </w:r>
            <w:r>
              <w:rPr>
                <w:rFonts w:hint="eastAsia" w:ascii="宋体" w:hAnsi="宋体"/>
                <w:color w:val="000000"/>
                <w:sz w:val="24"/>
                <w:szCs w:val="24"/>
              </w:rPr>
              <w:t>3.5mm 独立音频输出</w:t>
            </w:r>
            <w:r>
              <w:rPr>
                <w:rFonts w:hint="eastAsia" w:ascii="宋体" w:hAnsi="宋体"/>
                <w:color w:val="000000"/>
                <w:sz w:val="24"/>
                <w:szCs w:val="24"/>
                <w:lang w:eastAsia="zh-CN"/>
              </w:rPr>
              <w:t>，</w:t>
            </w:r>
            <w:r>
              <w:rPr>
                <w:rFonts w:hint="eastAsia" w:ascii="宋体" w:hAnsi="宋体"/>
                <w:color w:val="000000"/>
                <w:sz w:val="24"/>
                <w:szCs w:val="24"/>
              </w:rPr>
              <w:t>支持通过多功能卡进行音频输出</w:t>
            </w:r>
          </w:p>
          <w:p>
            <w:pPr>
              <w:rPr>
                <w:rFonts w:hint="eastAsia" w:ascii="宋体" w:hAnsi="宋体"/>
                <w:color w:val="000000"/>
                <w:sz w:val="24"/>
                <w:szCs w:val="24"/>
              </w:rPr>
            </w:pPr>
            <w:r>
              <w:rPr>
                <w:rFonts w:hint="eastAsia" w:ascii="宋体" w:hAnsi="宋体"/>
                <w:color w:val="000000"/>
                <w:sz w:val="24"/>
                <w:szCs w:val="24"/>
                <w:lang w:val="en-US" w:eastAsia="zh-CN"/>
              </w:rPr>
              <w:t>4、</w:t>
            </w:r>
            <w:r>
              <w:rPr>
                <w:rFonts w:hint="eastAsia" w:ascii="宋体" w:hAnsi="宋体"/>
                <w:color w:val="000000"/>
                <w:sz w:val="24"/>
                <w:szCs w:val="24"/>
              </w:rPr>
              <w:t>在低延迟开关开启、输入源同步开启，输入源到接收卡之间的延时可减少至 1 帧</w:t>
            </w:r>
          </w:p>
          <w:p>
            <w:pPr>
              <w:rPr>
                <w:rFonts w:hint="eastAsia" w:ascii="宋体" w:hAnsi="宋体"/>
                <w:color w:val="000000"/>
                <w:sz w:val="24"/>
                <w:szCs w:val="24"/>
              </w:rPr>
            </w:pPr>
            <w:r>
              <w:rPr>
                <w:rFonts w:hint="eastAsia" w:ascii="宋体" w:hAnsi="宋体"/>
                <w:color w:val="000000"/>
                <w:sz w:val="24"/>
                <w:szCs w:val="24"/>
                <w:lang w:val="en-US" w:eastAsia="zh-CN"/>
              </w:rPr>
              <w:t>5、</w:t>
            </w:r>
            <w:r>
              <w:rPr>
                <w:rFonts w:hint="eastAsia" w:ascii="宋体" w:hAnsi="宋体"/>
                <w:color w:val="000000"/>
                <w:sz w:val="24"/>
                <w:szCs w:val="24"/>
              </w:rPr>
              <w:t>搭载 SuperView III 画质处理技术，支持输出画面无极缩放</w:t>
            </w:r>
          </w:p>
          <w:p>
            <w:pPr>
              <w:rPr>
                <w:rFonts w:hint="eastAsia" w:ascii="宋体" w:hAnsi="宋体"/>
                <w:color w:val="000000"/>
                <w:sz w:val="24"/>
                <w:szCs w:val="24"/>
              </w:rPr>
            </w:pPr>
            <w:r>
              <w:rPr>
                <w:rFonts w:hint="eastAsia" w:ascii="宋体" w:hAnsi="宋体"/>
                <w:color w:val="000000"/>
                <w:sz w:val="24"/>
                <w:szCs w:val="24"/>
                <w:lang w:val="en-US" w:eastAsia="zh-CN"/>
              </w:rPr>
              <w:t>6、</w:t>
            </w:r>
            <w:r>
              <w:rPr>
                <w:rFonts w:hint="eastAsia" w:ascii="宋体" w:hAnsi="宋体"/>
                <w:color w:val="000000"/>
                <w:sz w:val="24"/>
                <w:szCs w:val="24"/>
              </w:rPr>
              <w:t>支持一键全屏缩放</w:t>
            </w:r>
          </w:p>
          <w:p>
            <w:pPr>
              <w:rPr>
                <w:rFonts w:hint="eastAsia" w:ascii="宋体" w:hAnsi="宋体"/>
                <w:color w:val="000000"/>
                <w:sz w:val="24"/>
                <w:szCs w:val="24"/>
              </w:rPr>
            </w:pPr>
            <w:r>
              <w:rPr>
                <w:rFonts w:hint="eastAsia" w:ascii="宋体" w:hAnsi="宋体"/>
                <w:color w:val="000000"/>
                <w:sz w:val="24"/>
                <w:szCs w:val="24"/>
                <w:lang w:val="en-US" w:eastAsia="zh-CN"/>
              </w:rPr>
              <w:t>7、</w:t>
            </w:r>
            <w:r>
              <w:rPr>
                <w:rFonts w:hint="eastAsia" w:ascii="宋体" w:hAnsi="宋体"/>
                <w:color w:val="000000"/>
                <w:sz w:val="24"/>
                <w:szCs w:val="24"/>
              </w:rPr>
              <w:t>支持输入源任意截取</w:t>
            </w:r>
          </w:p>
          <w:p>
            <w:pPr>
              <w:rPr>
                <w:rFonts w:hint="eastAsia" w:ascii="宋体" w:hAnsi="宋体"/>
                <w:color w:val="000000"/>
                <w:sz w:val="24"/>
                <w:szCs w:val="24"/>
              </w:rPr>
            </w:pPr>
            <w:r>
              <w:rPr>
                <w:rFonts w:hint="eastAsia" w:ascii="宋体" w:hAnsi="宋体"/>
                <w:color w:val="000000"/>
                <w:sz w:val="24"/>
                <w:szCs w:val="24"/>
                <w:lang w:val="en-US" w:eastAsia="zh-CN"/>
              </w:rPr>
              <w:t>8、</w:t>
            </w:r>
            <w:r>
              <w:rPr>
                <w:rFonts w:hint="eastAsia" w:ascii="宋体" w:hAnsi="宋体"/>
                <w:color w:val="000000"/>
                <w:sz w:val="24"/>
                <w:szCs w:val="24"/>
              </w:rPr>
              <w:t>支持输入画质管理，包括亮度、对比度、饱和度和色度调整</w:t>
            </w:r>
          </w:p>
          <w:p>
            <w:pPr>
              <w:rPr>
                <w:rFonts w:hint="eastAsia" w:ascii="宋体" w:hAnsi="宋体"/>
                <w:color w:val="000000"/>
                <w:sz w:val="24"/>
                <w:szCs w:val="24"/>
              </w:rPr>
            </w:pPr>
            <w:r>
              <w:rPr>
                <w:rFonts w:hint="eastAsia" w:ascii="宋体" w:hAnsi="宋体"/>
                <w:color w:val="000000"/>
                <w:sz w:val="24"/>
                <w:szCs w:val="24"/>
                <w:lang w:val="en-US" w:eastAsia="zh-CN"/>
              </w:rPr>
              <w:t>9、</w:t>
            </w:r>
            <w:r>
              <w:rPr>
                <w:rFonts w:hint="eastAsia" w:ascii="宋体" w:hAnsi="宋体"/>
                <w:color w:val="000000"/>
                <w:sz w:val="24"/>
                <w:szCs w:val="24"/>
              </w:rPr>
              <w:t xml:space="preserve">支持 </w:t>
            </w:r>
            <w:r>
              <w:rPr>
                <w:rFonts w:hint="eastAsia" w:ascii="宋体" w:hAnsi="宋体"/>
                <w:color w:val="000000"/>
                <w:sz w:val="24"/>
                <w:szCs w:val="24"/>
                <w:lang w:val="en-US" w:eastAsia="zh-CN"/>
              </w:rPr>
              <w:t>9</w:t>
            </w:r>
            <w:r>
              <w:rPr>
                <w:rFonts w:hint="eastAsia" w:ascii="宋体" w:hAnsi="宋体"/>
                <w:color w:val="000000"/>
                <w:sz w:val="24"/>
                <w:szCs w:val="24"/>
              </w:rPr>
              <w:t>个</w:t>
            </w:r>
            <w:r>
              <w:rPr>
                <w:rFonts w:hint="eastAsia" w:ascii="宋体" w:hAnsi="宋体"/>
                <w:color w:val="000000"/>
                <w:sz w:val="24"/>
                <w:szCs w:val="24"/>
                <w:lang w:val="en-US" w:eastAsia="zh-CN"/>
              </w:rPr>
              <w:t>以上</w:t>
            </w:r>
            <w:r>
              <w:rPr>
                <w:rFonts w:hint="eastAsia" w:ascii="宋体" w:hAnsi="宋体"/>
                <w:color w:val="000000"/>
                <w:sz w:val="24"/>
                <w:szCs w:val="24"/>
              </w:rPr>
              <w:t>自定义场景</w:t>
            </w:r>
          </w:p>
          <w:p>
            <w:pPr>
              <w:rPr>
                <w:rFonts w:hint="eastAsia" w:ascii="宋体" w:hAnsi="宋体" w:eastAsia="宋体"/>
                <w:color w:val="000000"/>
                <w:sz w:val="24"/>
                <w:szCs w:val="24"/>
                <w:lang w:eastAsia="zh-CN"/>
              </w:rPr>
            </w:pPr>
            <w:r>
              <w:rPr>
                <w:rFonts w:hint="eastAsia" w:ascii="宋体" w:hAnsi="宋体"/>
                <w:color w:val="000000"/>
                <w:sz w:val="24"/>
                <w:szCs w:val="24"/>
                <w:lang w:val="en-US" w:eastAsia="zh-CN"/>
              </w:rPr>
              <w:t>10、</w:t>
            </w:r>
            <w:r>
              <w:rPr>
                <w:rFonts w:hint="eastAsia" w:ascii="宋体" w:hAnsi="宋体"/>
                <w:color w:val="000000"/>
                <w:sz w:val="24"/>
                <w:szCs w:val="24"/>
              </w:rPr>
              <w:t>支持输入源热备功能</w:t>
            </w:r>
            <w:r>
              <w:rPr>
                <w:rFonts w:hint="eastAsia" w:ascii="宋体" w:hAnsi="宋体"/>
                <w:color w:val="000000"/>
                <w:sz w:val="24"/>
                <w:szCs w:val="24"/>
                <w:lang w:eastAsia="zh-CN"/>
              </w:rPr>
              <w:t>，</w:t>
            </w:r>
            <w:r>
              <w:rPr>
                <w:rFonts w:hint="eastAsia" w:ascii="宋体" w:hAnsi="宋体"/>
                <w:color w:val="000000"/>
                <w:sz w:val="24"/>
                <w:szCs w:val="24"/>
              </w:rPr>
              <w:t>网口间备份</w:t>
            </w:r>
          </w:p>
          <w:p>
            <w:pPr>
              <w:rPr>
                <w:rFonts w:hint="eastAsia" w:ascii="宋体" w:hAnsi="宋体"/>
                <w:color w:val="000000"/>
                <w:sz w:val="24"/>
                <w:szCs w:val="24"/>
              </w:rPr>
            </w:pPr>
            <w:r>
              <w:rPr>
                <w:rFonts w:hint="eastAsia" w:ascii="宋体" w:hAnsi="宋体"/>
                <w:color w:val="000000"/>
                <w:sz w:val="24"/>
                <w:szCs w:val="24"/>
                <w:lang w:val="en-US" w:eastAsia="zh-CN"/>
              </w:rPr>
              <w:t>11、</w:t>
            </w:r>
            <w:r>
              <w:rPr>
                <w:rFonts w:hint="eastAsia" w:ascii="宋体" w:hAnsi="宋体"/>
                <w:color w:val="000000"/>
                <w:sz w:val="24"/>
                <w:szCs w:val="24"/>
              </w:rPr>
              <w:t>支持使用内部输入源作为同步源，保证输入输出画面同步</w:t>
            </w:r>
          </w:p>
          <w:p>
            <w:pPr>
              <w:rPr>
                <w:rFonts w:hint="eastAsia" w:ascii="宋体" w:hAnsi="宋体" w:eastAsia="宋体" w:cs="Times New Roman"/>
                <w:color w:val="000000"/>
                <w:kern w:val="2"/>
                <w:sz w:val="24"/>
                <w:szCs w:val="24"/>
                <w:lang w:val="en-US" w:eastAsia="zh-CN" w:bidi="ar-SA"/>
              </w:rPr>
            </w:pPr>
            <w:r>
              <w:rPr>
                <w:rFonts w:hint="eastAsia" w:ascii="宋体" w:hAnsi="宋体" w:eastAsia="宋体"/>
                <w:sz w:val="24"/>
                <w:szCs w:val="24"/>
              </w:rPr>
              <w:t>★</w:t>
            </w:r>
            <w:r>
              <w:rPr>
                <w:rFonts w:hint="eastAsia" w:ascii="宋体" w:hAnsi="宋体"/>
                <w:color w:val="000000"/>
                <w:sz w:val="24"/>
                <w:szCs w:val="24"/>
                <w:lang w:val="en-US" w:eastAsia="zh-CN"/>
              </w:rPr>
              <w:t>12、</w:t>
            </w:r>
            <w:r>
              <w:rPr>
                <w:rFonts w:hint="eastAsia" w:ascii="宋体" w:hAnsi="宋体"/>
                <w:color w:val="000000"/>
                <w:sz w:val="24"/>
                <w:szCs w:val="24"/>
              </w:rPr>
              <w:t>配合 NovaLCT 和校正平台，对每个灯点的亮度和色度进行校正，有效消除色差，使整屏的亮度和色度达到高度均匀一致，提高显示屏的画质</w:t>
            </w:r>
          </w:p>
        </w:tc>
        <w:tc>
          <w:tcPr>
            <w:tcW w:w="78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ascii="宋体" w:hAnsi="宋体" w:eastAsia="宋体"/>
                <w:kern w:val="0"/>
                <w:sz w:val="24"/>
                <w:szCs w:val="24"/>
              </w:rPr>
              <w:t>1台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0"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4</w:t>
            </w:r>
          </w:p>
        </w:tc>
        <w:tc>
          <w:tcPr>
            <w:tcW w:w="993" w:type="dxa"/>
            <w:tcBorders>
              <w:top w:val="single" w:color="000000" w:sz="4" w:space="0"/>
              <w:left w:val="single" w:color="000000" w:sz="4" w:space="0"/>
              <w:bottom w:val="single" w:color="000000" w:sz="4" w:space="0"/>
              <w:right w:val="single" w:color="000000" w:sz="4" w:space="0"/>
            </w:tcBorders>
            <w:vAlign w:val="center"/>
          </w:tcPr>
          <w:p>
            <w:pPr>
              <w:jc w:val="left"/>
              <w:rPr>
                <w:rStyle w:val="30"/>
                <w:rFonts w:ascii="宋体" w:hAnsi="宋体" w:eastAsia="宋体"/>
                <w:sz w:val="24"/>
                <w:szCs w:val="24"/>
              </w:rPr>
            </w:pPr>
            <w:r>
              <w:rPr>
                <w:rStyle w:val="30"/>
                <w:rFonts w:ascii="宋体" w:hAnsi="宋体" w:eastAsia="宋体"/>
                <w:kern w:val="0"/>
                <w:sz w:val="24"/>
                <w:szCs w:val="24"/>
              </w:rPr>
              <w:t>播控软件</w:t>
            </w:r>
          </w:p>
        </w:tc>
        <w:tc>
          <w:tcPr>
            <w:tcW w:w="546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eastAsia="zh-CN"/>
              </w:rPr>
              <w:t>、</w:t>
            </w:r>
            <w:r>
              <w:rPr>
                <w:rFonts w:hint="eastAsia" w:ascii="宋体" w:hAnsi="宋体"/>
                <w:color w:val="000000"/>
                <w:sz w:val="24"/>
                <w:szCs w:val="24"/>
              </w:rPr>
              <w:t>多显示屏导播:软件可同时导播多个映射位置不同的显示屏，每个显示屏可设置不同的播放方案；</w:t>
            </w:r>
          </w:p>
          <w:p>
            <w:pPr>
              <w:rPr>
                <w:rFonts w:hint="eastAsia" w:ascii="宋体" w:hAnsi="宋体"/>
                <w:color w:val="000000"/>
                <w:sz w:val="24"/>
                <w:szCs w:val="24"/>
              </w:rPr>
            </w:pPr>
            <w:r>
              <w:rPr>
                <w:rFonts w:hint="eastAsia" w:ascii="宋体" w:hAnsi="宋体"/>
                <w:color w:val="000000"/>
                <w:sz w:val="24"/>
                <w:szCs w:val="24"/>
              </w:rPr>
              <w:t>2</w:t>
            </w:r>
            <w:r>
              <w:rPr>
                <w:rFonts w:hint="eastAsia" w:ascii="宋体" w:hAnsi="宋体"/>
                <w:color w:val="000000"/>
                <w:sz w:val="24"/>
                <w:szCs w:val="24"/>
                <w:lang w:eastAsia="zh-CN"/>
              </w:rPr>
              <w:t>、</w:t>
            </w:r>
            <w:r>
              <w:rPr>
                <w:rFonts w:hint="eastAsia" w:ascii="宋体" w:hAnsi="宋体"/>
                <w:color w:val="000000"/>
                <w:sz w:val="24"/>
                <w:szCs w:val="24"/>
              </w:rPr>
              <w:t>远程显示屏管理通过一台计算机的操作远程控制和发布播放方案到显示屏；</w:t>
            </w:r>
          </w:p>
          <w:p>
            <w:pPr>
              <w:rPr>
                <w:rFonts w:hint="eastAsia" w:ascii="宋体" w:hAnsi="宋体"/>
                <w:color w:val="000000"/>
                <w:sz w:val="24"/>
                <w:szCs w:val="24"/>
              </w:rPr>
            </w:pPr>
            <w:r>
              <w:rPr>
                <w:rFonts w:hint="eastAsia" w:ascii="宋体" w:hAnsi="宋体"/>
                <w:color w:val="000000"/>
                <w:sz w:val="24"/>
                <w:szCs w:val="24"/>
              </w:rPr>
              <w:t>3</w:t>
            </w:r>
            <w:r>
              <w:rPr>
                <w:rFonts w:hint="eastAsia" w:ascii="宋体" w:hAnsi="宋体"/>
                <w:color w:val="000000"/>
                <w:sz w:val="24"/>
                <w:szCs w:val="24"/>
                <w:lang w:eastAsia="zh-CN"/>
              </w:rPr>
              <w:t>、</w:t>
            </w:r>
            <w:r>
              <w:rPr>
                <w:rFonts w:hint="eastAsia" w:ascii="宋体" w:hAnsi="宋体"/>
                <w:color w:val="000000"/>
                <w:sz w:val="24"/>
                <w:szCs w:val="24"/>
              </w:rPr>
              <w:t>多日期多时段调度功能:可设置不同的日期和时间播放不同的节目页内容；</w:t>
            </w:r>
          </w:p>
          <w:p>
            <w:pPr>
              <w:rPr>
                <w:rFonts w:hint="eastAsia" w:ascii="宋体" w:hAnsi="宋体"/>
                <w:color w:val="000000"/>
                <w:sz w:val="24"/>
                <w:szCs w:val="24"/>
              </w:rPr>
            </w:pPr>
            <w:r>
              <w:rPr>
                <w:rFonts w:hint="eastAsia" w:ascii="宋体" w:hAnsi="宋体"/>
                <w:color w:val="000000"/>
                <w:sz w:val="24"/>
                <w:szCs w:val="24"/>
              </w:rPr>
              <w:t>4</w:t>
            </w:r>
            <w:r>
              <w:rPr>
                <w:rFonts w:hint="eastAsia" w:ascii="宋体" w:hAnsi="宋体"/>
                <w:color w:val="000000"/>
                <w:sz w:val="24"/>
                <w:szCs w:val="24"/>
                <w:lang w:eastAsia="zh-CN"/>
              </w:rPr>
              <w:t>、</w:t>
            </w:r>
            <w:r>
              <w:rPr>
                <w:rFonts w:hint="eastAsia" w:ascii="宋体" w:hAnsi="宋体"/>
                <w:color w:val="000000"/>
                <w:sz w:val="24"/>
                <w:szCs w:val="24"/>
              </w:rPr>
              <w:t>多节目页功能:每个播放时段可包含多个“窗口布局不同的节目页”； 节目页多窗口功能:每个节目页可添加多个窗口，窗口的大小和位置可任意设置；</w:t>
            </w:r>
          </w:p>
          <w:p>
            <w:pPr>
              <w:rPr>
                <w:rFonts w:hint="eastAsia" w:ascii="宋体" w:hAnsi="宋体"/>
                <w:color w:val="000000"/>
                <w:sz w:val="24"/>
                <w:szCs w:val="24"/>
              </w:rPr>
            </w:pPr>
            <w:r>
              <w:rPr>
                <w:rFonts w:hint="eastAsia" w:ascii="宋体" w:hAnsi="宋体"/>
                <w:color w:val="000000"/>
                <w:sz w:val="24"/>
                <w:szCs w:val="24"/>
                <w:lang w:val="en-US" w:eastAsia="zh-CN"/>
              </w:rPr>
              <w:t>5、</w:t>
            </w:r>
            <w:r>
              <w:rPr>
                <w:rFonts w:hint="eastAsia" w:ascii="宋体" w:hAnsi="宋体"/>
                <w:color w:val="000000"/>
                <w:sz w:val="24"/>
                <w:szCs w:val="24"/>
              </w:rPr>
              <w:t>多种媒体类型:支持视频，音频、图片、Flash、自定义文本、单行文本、静态文本、走马灯、模拟时钟、数字时钟、天气预报、倒计时、视频设备、网页等；</w:t>
            </w:r>
          </w:p>
          <w:p>
            <w:pPr>
              <w:rPr>
                <w:rFonts w:hint="eastAsia" w:ascii="宋体" w:hAnsi="宋体"/>
                <w:color w:val="000000"/>
                <w:sz w:val="24"/>
                <w:szCs w:val="24"/>
              </w:rPr>
            </w:pPr>
            <w:r>
              <w:rPr>
                <w:rFonts w:hint="eastAsia" w:ascii="宋体" w:hAnsi="宋体"/>
                <w:color w:val="000000"/>
                <w:sz w:val="24"/>
                <w:szCs w:val="24"/>
                <w:lang w:val="en-US" w:eastAsia="zh-CN"/>
              </w:rPr>
              <w:t>6、</w:t>
            </w:r>
            <w:r>
              <w:rPr>
                <w:rFonts w:hint="eastAsia" w:ascii="宋体" w:hAnsi="宋体"/>
                <w:color w:val="000000"/>
                <w:sz w:val="24"/>
                <w:szCs w:val="24"/>
              </w:rPr>
              <w:t>丰富的媒体属性:支持媒体的背景颜色、背景图片、透明度、音量、显示比例、出入场特效、特效速度、文字颜色、文字效果、字体、风格、透明等属性设置；多种文字图片特效，平滑流畅:40多种常用特效，且播放时平滑流畅，无水平切割线，无撕裂；</w:t>
            </w:r>
          </w:p>
          <w:p>
            <w:pPr>
              <w:rPr>
                <w:rFonts w:hint="eastAsia" w:ascii="宋体" w:hAnsi="宋体"/>
                <w:color w:val="000000"/>
                <w:sz w:val="24"/>
                <w:szCs w:val="24"/>
              </w:rPr>
            </w:pPr>
            <w:r>
              <w:rPr>
                <w:rFonts w:hint="eastAsia" w:ascii="宋体" w:hAnsi="宋体"/>
                <w:color w:val="000000"/>
                <w:sz w:val="24"/>
                <w:szCs w:val="24"/>
                <w:lang w:val="en-US" w:eastAsia="zh-CN"/>
              </w:rPr>
              <w:t>7、</w:t>
            </w:r>
            <w:r>
              <w:rPr>
                <w:rFonts w:hint="eastAsia" w:ascii="宋体" w:hAnsi="宋体"/>
                <w:color w:val="000000"/>
                <w:sz w:val="24"/>
                <w:szCs w:val="24"/>
              </w:rPr>
              <w:t>防止视频长时间播放卡死功能:视频播放过程中，若由于解码器或计算机性能或资源的问题，出现长时间（大于10s）的画面和声音卡死，软件会迅速恢复，切换到下一个媒体播放；</w:t>
            </w:r>
          </w:p>
          <w:p>
            <w:pPr>
              <w:rPr>
                <w:rFonts w:hint="eastAsia" w:ascii="宋体" w:hAnsi="宋体"/>
                <w:color w:val="000000"/>
                <w:sz w:val="24"/>
                <w:szCs w:val="24"/>
              </w:rPr>
            </w:pPr>
            <w:r>
              <w:rPr>
                <w:rFonts w:hint="eastAsia" w:ascii="宋体" w:hAnsi="宋体"/>
                <w:color w:val="000000"/>
                <w:sz w:val="24"/>
                <w:szCs w:val="24"/>
                <w:lang w:val="en-US" w:eastAsia="zh-CN"/>
              </w:rPr>
              <w:t>8</w:t>
            </w:r>
            <w:r>
              <w:rPr>
                <w:rFonts w:hint="eastAsia" w:ascii="宋体" w:hAnsi="宋体"/>
                <w:color w:val="000000"/>
                <w:sz w:val="24"/>
                <w:szCs w:val="24"/>
              </w:rPr>
              <w:t>支持时钟、倒计时、文字、文件、天气预报的透明播放；</w:t>
            </w:r>
          </w:p>
          <w:p>
            <w:pPr>
              <w:rPr>
                <w:rFonts w:hint="eastAsia" w:ascii="宋体" w:hAnsi="宋体"/>
                <w:color w:val="000000"/>
                <w:sz w:val="24"/>
                <w:szCs w:val="24"/>
              </w:rPr>
            </w:pPr>
            <w:r>
              <w:rPr>
                <w:rFonts w:hint="eastAsia" w:ascii="宋体" w:hAnsi="宋体"/>
                <w:color w:val="000000"/>
                <w:sz w:val="24"/>
                <w:szCs w:val="24"/>
                <w:lang w:val="en-US" w:eastAsia="zh-CN"/>
              </w:rPr>
              <w:t>9、</w:t>
            </w:r>
            <w:r>
              <w:rPr>
                <w:rFonts w:hint="eastAsia" w:ascii="宋体" w:hAnsi="宋体"/>
                <w:color w:val="000000"/>
                <w:sz w:val="24"/>
                <w:szCs w:val="24"/>
              </w:rPr>
              <w:t>开机自启动和启动自动播放；</w:t>
            </w:r>
          </w:p>
          <w:p>
            <w:pPr>
              <w:rPr>
                <w:rFonts w:hint="eastAsia" w:ascii="宋体" w:hAnsi="宋体"/>
                <w:color w:val="000000"/>
                <w:sz w:val="24"/>
                <w:szCs w:val="24"/>
              </w:rPr>
            </w:pPr>
            <w:r>
              <w:rPr>
                <w:rFonts w:hint="eastAsia" w:ascii="宋体" w:hAnsi="宋体"/>
                <w:color w:val="000000"/>
                <w:sz w:val="24"/>
                <w:szCs w:val="24"/>
                <w:lang w:val="en-US" w:eastAsia="zh-CN"/>
              </w:rPr>
              <w:t>10、</w:t>
            </w:r>
            <w:r>
              <w:rPr>
                <w:rFonts w:hint="eastAsia" w:ascii="宋体" w:hAnsi="宋体"/>
                <w:color w:val="000000"/>
                <w:sz w:val="24"/>
                <w:szCs w:val="24"/>
              </w:rPr>
              <w:t>自带解码器包，支持多种常用格式视频，长时间稳定播放，并且能根据客户需求实时更新解码包；</w:t>
            </w:r>
          </w:p>
          <w:p>
            <w:pPr>
              <w:rPr>
                <w:rFonts w:hint="eastAsia" w:ascii="宋体" w:hAnsi="宋体"/>
                <w:color w:val="000000"/>
                <w:sz w:val="24"/>
                <w:szCs w:val="24"/>
              </w:rPr>
            </w:pPr>
            <w:r>
              <w:rPr>
                <w:rFonts w:hint="eastAsia" w:ascii="宋体" w:hAnsi="宋体"/>
                <w:color w:val="000000"/>
                <w:sz w:val="24"/>
                <w:szCs w:val="24"/>
                <w:lang w:val="en-US" w:eastAsia="zh-CN"/>
              </w:rPr>
              <w:t>11、</w:t>
            </w:r>
            <w:r>
              <w:rPr>
                <w:rFonts w:hint="eastAsia" w:ascii="宋体" w:hAnsi="宋体"/>
                <w:color w:val="000000"/>
                <w:sz w:val="24"/>
                <w:szCs w:val="24"/>
              </w:rPr>
              <w:t>实用的日志管理功能,可查看任意日期的播放日志，或导出为Execel报表文件,可对任意日期的媒体做播放统计,并导出为Excel报表文件;</w:t>
            </w:r>
          </w:p>
          <w:p>
            <w:pP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r>
              <w:rPr>
                <w:rFonts w:hint="eastAsia" w:ascii="宋体" w:hAnsi="宋体"/>
                <w:color w:val="000000"/>
                <w:sz w:val="24"/>
                <w:szCs w:val="24"/>
              </w:rPr>
              <w:t>硬盘备份功能:可将当前的播放方案和包含的全部媒体备份到指定的硬盘位置,可监测U盘的插入，并自动播放U盘中的播放方案；</w:t>
            </w:r>
          </w:p>
        </w:tc>
        <w:tc>
          <w:tcPr>
            <w:tcW w:w="167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6"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5</w:t>
            </w:r>
          </w:p>
        </w:tc>
        <w:tc>
          <w:tcPr>
            <w:tcW w:w="993"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配电柜</w:t>
            </w:r>
          </w:p>
        </w:tc>
        <w:tc>
          <w:tcPr>
            <w:tcW w:w="5465" w:type="dxa"/>
            <w:tcBorders>
              <w:top w:val="single" w:color="000000" w:sz="4" w:space="0"/>
              <w:left w:val="single" w:color="000000" w:sz="4" w:space="0"/>
              <w:bottom w:val="single" w:color="000000" w:sz="4" w:space="0"/>
              <w:right w:val="single" w:color="000000" w:sz="4" w:space="0"/>
            </w:tcBorders>
            <w:vAlign w:val="center"/>
          </w:tcPr>
          <w:p>
            <w:pPr>
              <w:jc w:val="left"/>
              <w:rPr>
                <w:rStyle w:val="30"/>
                <w:rFonts w:ascii="宋体" w:hAnsi="宋体" w:eastAsia="宋体"/>
                <w:kern w:val="0"/>
                <w:sz w:val="24"/>
                <w:szCs w:val="24"/>
              </w:rPr>
            </w:pPr>
            <w:r>
              <w:rPr>
                <w:rStyle w:val="30"/>
                <w:rFonts w:hint="eastAsia" w:ascii="宋体" w:hAnsi="宋体" w:eastAsia="宋体"/>
                <w:kern w:val="0"/>
                <w:sz w:val="24"/>
                <w:szCs w:val="24"/>
              </w:rPr>
              <w:t>定制20KW：具备短路、断路以及漏电保护措施；</w:t>
            </w:r>
          </w:p>
        </w:tc>
        <w:tc>
          <w:tcPr>
            <w:tcW w:w="1677" w:type="dxa"/>
            <w:gridSpan w:val="2"/>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1"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6</w:t>
            </w:r>
          </w:p>
        </w:tc>
        <w:tc>
          <w:tcPr>
            <w:tcW w:w="993" w:type="dxa"/>
            <w:tcBorders>
              <w:top w:val="single" w:color="000000" w:sz="4" w:space="0"/>
              <w:left w:val="single" w:color="000000" w:sz="4" w:space="0"/>
              <w:bottom w:val="single" w:color="000000" w:sz="4" w:space="0"/>
              <w:right w:val="single" w:color="000000" w:sz="4" w:space="0"/>
            </w:tcBorders>
            <w:vAlign w:val="center"/>
          </w:tcPr>
          <w:p>
            <w:pPr>
              <w:spacing w:after="240"/>
              <w:jc w:val="left"/>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屏体结构</w:t>
            </w:r>
          </w:p>
        </w:tc>
        <w:tc>
          <w:tcPr>
            <w:tcW w:w="5465" w:type="dxa"/>
            <w:tcBorders>
              <w:top w:val="single" w:color="000000" w:sz="4" w:space="0"/>
              <w:left w:val="single" w:color="000000" w:sz="4" w:space="0"/>
              <w:bottom w:val="single" w:color="000000" w:sz="4" w:space="0"/>
              <w:right w:val="single" w:color="000000" w:sz="4" w:space="0"/>
            </w:tcBorders>
            <w:vAlign w:val="center"/>
          </w:tcPr>
          <w:p>
            <w:pPr>
              <w:spacing w:after="240"/>
              <w:jc w:val="left"/>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屏体框架尺寸：7m*3.25m</w:t>
            </w:r>
          </w:p>
        </w:tc>
        <w:tc>
          <w:tcPr>
            <w:tcW w:w="1677" w:type="dxa"/>
            <w:gridSpan w:val="2"/>
            <w:tcBorders>
              <w:top w:val="single" w:color="000000" w:sz="4" w:space="0"/>
              <w:left w:val="single" w:color="000000" w:sz="4" w:space="0"/>
              <w:bottom w:val="single" w:color="000000" w:sz="4" w:space="0"/>
              <w:right w:val="single" w:color="000000" w:sz="4" w:space="0"/>
            </w:tcBorders>
            <w:vAlign w:val="center"/>
          </w:tcPr>
          <w:p>
            <w:pPr>
              <w:jc w:val="left"/>
              <w:rPr>
                <w:rStyle w:val="30"/>
                <w:rFonts w:ascii="宋体" w:hAnsi="宋体" w:eastAsia="宋体"/>
                <w:kern w:val="0"/>
                <w:sz w:val="24"/>
                <w:szCs w:val="24"/>
              </w:rPr>
            </w:pPr>
            <w:r>
              <w:rPr>
                <w:rStyle w:val="30"/>
                <w:rFonts w:hint="eastAsia" w:ascii="宋体" w:hAnsi="宋体" w:eastAsia="宋体"/>
                <w:kern w:val="0"/>
                <w:sz w:val="24"/>
                <w:szCs w:val="24"/>
              </w:rPr>
              <w:t>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0"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7</w:t>
            </w:r>
          </w:p>
        </w:tc>
        <w:tc>
          <w:tcPr>
            <w:tcW w:w="993"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exact"/>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同屏器</w:t>
            </w:r>
          </w:p>
        </w:tc>
        <w:tc>
          <w:tcPr>
            <w:tcW w:w="6356"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会议室内笔记本无线的音视频一键高清投屏（1080P，直接投屏无需安装驱动），控制室内控制电脑音视频画面显示、播放以及会议室内任意位置上移动设备（苹果、安卓、windows系统）的直接音视频投屏。</w:t>
            </w:r>
          </w:p>
        </w:tc>
        <w:tc>
          <w:tcPr>
            <w:tcW w:w="78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8</w:t>
            </w:r>
          </w:p>
        </w:tc>
        <w:tc>
          <w:tcPr>
            <w:tcW w:w="993"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exact"/>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分屏器</w:t>
            </w:r>
          </w:p>
        </w:tc>
        <w:tc>
          <w:tcPr>
            <w:tcW w:w="6356"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HDMI分配器1进8出。</w:t>
            </w:r>
          </w:p>
        </w:tc>
        <w:tc>
          <w:tcPr>
            <w:tcW w:w="78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1套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0"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9</w:t>
            </w:r>
          </w:p>
        </w:tc>
        <w:tc>
          <w:tcPr>
            <w:tcW w:w="993" w:type="dxa"/>
            <w:tcBorders>
              <w:top w:val="single" w:color="000000" w:sz="4" w:space="0"/>
              <w:left w:val="single" w:color="000000" w:sz="4" w:space="0"/>
              <w:bottom w:val="single" w:color="000000" w:sz="4" w:space="0"/>
              <w:right w:val="single" w:color="000000" w:sz="4" w:space="0"/>
            </w:tcBorders>
            <w:vAlign w:val="center"/>
          </w:tcPr>
          <w:p>
            <w:pPr>
              <w:spacing w:after="240"/>
              <w:rPr>
                <w:rFonts w:hint="eastAsia" w:ascii="宋体" w:hAnsi="宋体" w:eastAsia="宋体"/>
                <w:color w:val="000000"/>
                <w:sz w:val="24"/>
                <w:szCs w:val="24"/>
              </w:rPr>
            </w:pPr>
            <w:r>
              <w:rPr>
                <w:rFonts w:hint="eastAsia" w:ascii="宋体" w:hAnsi="宋体" w:eastAsia="宋体"/>
                <w:color w:val="000000"/>
                <w:sz w:val="24"/>
                <w:szCs w:val="24"/>
              </w:rPr>
              <w:t>系统安装与集成费</w:t>
            </w:r>
          </w:p>
        </w:tc>
        <w:tc>
          <w:tcPr>
            <w:tcW w:w="6356" w:type="dxa"/>
            <w:gridSpan w:val="2"/>
            <w:tcBorders>
              <w:top w:val="single" w:color="000000" w:sz="4" w:space="0"/>
              <w:left w:val="single" w:color="000000" w:sz="4" w:space="0"/>
              <w:bottom w:val="single" w:color="000000" w:sz="4" w:space="0"/>
              <w:right w:val="single" w:color="000000" w:sz="4" w:space="0"/>
            </w:tcBorders>
            <w:vAlign w:val="center"/>
          </w:tcPr>
          <w:p>
            <w:pPr>
              <w:spacing w:after="240"/>
              <w:rPr>
                <w:rFonts w:hint="eastAsia" w:ascii="宋体" w:hAnsi="宋体" w:eastAsia="宋体"/>
                <w:color w:val="000000"/>
                <w:sz w:val="24"/>
                <w:szCs w:val="24"/>
              </w:rPr>
            </w:pPr>
            <w:r>
              <w:rPr>
                <w:rFonts w:hint="eastAsia" w:ascii="宋体" w:hAnsi="宋体" w:eastAsia="宋体"/>
                <w:color w:val="000000"/>
                <w:sz w:val="24"/>
                <w:szCs w:val="24"/>
              </w:rPr>
              <w:t>线路布放施工及4台电视机信号线改造，与原会议室音响系统、4台电视机等设备的集成调试等，包含安装、调试及各类施工所需辅材。</w:t>
            </w:r>
          </w:p>
        </w:tc>
        <w:tc>
          <w:tcPr>
            <w:tcW w:w="78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24"/>
                <w:szCs w:val="24"/>
              </w:rPr>
            </w:pPr>
            <w:r>
              <w:rPr>
                <w:rStyle w:val="30"/>
                <w:rFonts w:hint="eastAsia" w:ascii="宋体" w:hAnsi="宋体" w:eastAsia="宋体"/>
                <w:kern w:val="0"/>
                <w:sz w:val="24"/>
                <w:szCs w:val="24"/>
              </w:rPr>
              <w:t>1项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1" w:hRule="atLeast"/>
        </w:trPr>
        <w:tc>
          <w:tcPr>
            <w:tcW w:w="104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kern w:val="0"/>
                <w:sz w:val="16"/>
                <w:szCs w:val="16"/>
              </w:rPr>
            </w:pPr>
          </w:p>
        </w:tc>
        <w:tc>
          <w:tcPr>
            <w:tcW w:w="993"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exact"/>
              <w:rPr>
                <w:rStyle w:val="30"/>
                <w:rFonts w:ascii="宋体" w:hAnsi="宋体" w:eastAsia="宋体"/>
                <w:sz w:val="16"/>
                <w:szCs w:val="16"/>
              </w:rPr>
            </w:pPr>
          </w:p>
        </w:tc>
        <w:tc>
          <w:tcPr>
            <w:tcW w:w="6356" w:type="dxa"/>
            <w:gridSpan w:val="2"/>
            <w:tcBorders>
              <w:top w:val="single" w:color="000000" w:sz="4" w:space="0"/>
              <w:left w:val="single" w:color="000000" w:sz="4" w:space="0"/>
              <w:bottom w:val="single" w:color="000000" w:sz="4" w:space="0"/>
              <w:right w:val="single" w:color="000000" w:sz="4" w:space="0"/>
            </w:tcBorders>
            <w:vAlign w:val="center"/>
          </w:tcPr>
          <w:p>
            <w:pPr>
              <w:pStyle w:val="22"/>
              <w:spacing w:line="320" w:lineRule="exact"/>
              <w:rPr>
                <w:rStyle w:val="30"/>
                <w:rFonts w:ascii="宋体" w:hAnsi="宋体" w:eastAsia="宋体"/>
                <w:b/>
                <w:bCs/>
                <w:sz w:val="22"/>
                <w:szCs w:val="22"/>
              </w:rPr>
            </w:pPr>
          </w:p>
        </w:tc>
        <w:tc>
          <w:tcPr>
            <w:tcW w:w="786" w:type="dxa"/>
            <w:tcBorders>
              <w:top w:val="single" w:color="000000" w:sz="4" w:space="0"/>
              <w:left w:val="single" w:color="000000" w:sz="4" w:space="0"/>
              <w:bottom w:val="single" w:color="000000" w:sz="4" w:space="0"/>
              <w:right w:val="single" w:color="000000" w:sz="4" w:space="0"/>
            </w:tcBorders>
            <w:vAlign w:val="center"/>
          </w:tcPr>
          <w:p>
            <w:pPr>
              <w:jc w:val="center"/>
              <w:rPr>
                <w:rStyle w:val="30"/>
                <w:rFonts w:ascii="宋体" w:hAnsi="宋体" w:eastAsia="宋体"/>
                <w:b/>
                <w:bCs/>
                <w:kern w:val="0"/>
                <w:sz w:val="22"/>
              </w:rPr>
            </w:pPr>
          </w:p>
        </w:tc>
      </w:tr>
    </w:tbl>
    <w:p>
      <w:pPr>
        <w:pStyle w:val="2"/>
      </w:pPr>
    </w:p>
    <w:p>
      <w:pPr>
        <w:pStyle w:val="2"/>
      </w:pPr>
    </w:p>
    <w:p>
      <w:pPr>
        <w:tabs>
          <w:tab w:val="left" w:pos="315"/>
        </w:tabs>
        <w:spacing w:line="380" w:lineRule="exact"/>
        <w:jc w:val="left"/>
        <w:rPr>
          <w:rFonts w:ascii="宋体" w:hAnsi="宋体" w:cs="宋体"/>
          <w:b/>
          <w:color w:val="FF0000"/>
          <w:sz w:val="24"/>
          <w:szCs w:val="24"/>
        </w:rPr>
      </w:pPr>
      <w:r>
        <w:rPr>
          <w:rFonts w:hint="eastAsia" w:ascii="宋体" w:hAnsi="宋体" w:cs="宋体"/>
          <w:b/>
          <w:color w:val="FF0000"/>
          <w:sz w:val="24"/>
          <w:szCs w:val="24"/>
        </w:rPr>
        <w:t>注：</w:t>
      </w:r>
    </w:p>
    <w:p>
      <w:pPr>
        <w:tabs>
          <w:tab w:val="left" w:pos="315"/>
        </w:tabs>
        <w:spacing w:line="380" w:lineRule="exact"/>
        <w:jc w:val="left"/>
        <w:rPr>
          <w:rFonts w:ascii="宋体" w:hAnsi="宋体" w:cs="宋体"/>
          <w:sz w:val="28"/>
          <w:szCs w:val="28"/>
        </w:rPr>
      </w:pPr>
      <w:r>
        <w:rPr>
          <w:rFonts w:hint="eastAsia" w:ascii="宋体" w:hAnsi="宋体" w:cs="宋体"/>
          <w:b/>
          <w:color w:val="FF0000"/>
          <w:sz w:val="24"/>
          <w:szCs w:val="24"/>
        </w:rPr>
        <w:t>1、如果在技术参数或配置中标明了品牌或产地，则仅供参考，并非指定，投标人可以选用替代的方案，但这种替代整体上要优于或相当于招标文件的相关要求。</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2、为鼓励不同品牌的充分竞争，如某货物的某技术参数或要求属于个别品牌专有，则该技术参数及要求不具有限制性，投标人可对该参数或要求进行适当调整，并应当在投标文件中说明调整的理由，且该调整须经评委会审核认可。</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3、所有描述为“支持”的，均表示具备、配置、提供、实现等意思，是要满足技术参数的要求。</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4、招标文件中用“</w:t>
      </w:r>
      <w:r>
        <w:rPr>
          <w:rFonts w:hint="eastAsia" w:ascii="宋体" w:hAnsi="宋体" w:cs="宋体"/>
          <w:b/>
          <w:color w:val="000000"/>
          <w:sz w:val="24"/>
          <w:szCs w:val="24"/>
        </w:rPr>
        <w:t>★</w:t>
      </w:r>
      <w:r>
        <w:rPr>
          <w:rFonts w:hint="eastAsia" w:ascii="宋体" w:hAnsi="宋体" w:cs="宋体"/>
          <w:b/>
          <w:color w:val="FF0000"/>
          <w:sz w:val="24"/>
          <w:szCs w:val="24"/>
        </w:rPr>
        <w:t>”标注的技术参数为不允许负偏离的实质性要求和条件（如果招标文件中有标注“</w:t>
      </w:r>
      <w:r>
        <w:rPr>
          <w:rFonts w:hint="eastAsia" w:ascii="宋体" w:hAnsi="宋体" w:cs="宋体"/>
          <w:b/>
          <w:color w:val="000000"/>
          <w:sz w:val="24"/>
          <w:szCs w:val="24"/>
        </w:rPr>
        <w:t>★</w:t>
      </w:r>
      <w:r>
        <w:rPr>
          <w:rFonts w:hint="eastAsia" w:ascii="宋体" w:hAnsi="宋体" w:cs="宋体"/>
          <w:b/>
          <w:color w:val="FF0000"/>
          <w:sz w:val="24"/>
          <w:szCs w:val="24"/>
        </w:rPr>
        <w:t>”的技术参数）。</w:t>
      </w:r>
    </w:p>
    <w:p>
      <w:pPr>
        <w:tabs>
          <w:tab w:val="left" w:pos="1050"/>
        </w:tabs>
        <w:spacing w:line="380" w:lineRule="exact"/>
        <w:outlineLvl w:val="2"/>
        <w:rPr>
          <w:rFonts w:ascii="宋体" w:hAnsi="宋体" w:cs="宋体"/>
          <w:b/>
          <w:color w:val="FF0000"/>
          <w:sz w:val="24"/>
          <w:szCs w:val="24"/>
        </w:rPr>
      </w:pPr>
      <w:r>
        <w:rPr>
          <w:rFonts w:hint="eastAsia" w:ascii="宋体" w:hAnsi="宋体" w:cs="宋体"/>
          <w:b/>
          <w:color w:val="FF0000"/>
          <w:sz w:val="24"/>
          <w:szCs w:val="24"/>
        </w:rPr>
        <w:t>5、采购人在发布中标公告时，将依法对中标人所报产品（包括但不仅限于标注“</w:t>
      </w:r>
      <w:r>
        <w:rPr>
          <w:rFonts w:hint="eastAsia" w:ascii="宋体" w:hAnsi="宋体" w:cs="宋体"/>
          <w:b/>
          <w:sz w:val="24"/>
          <w:szCs w:val="24"/>
        </w:rPr>
        <w:t>▲</w:t>
      </w:r>
      <w:r>
        <w:rPr>
          <w:rFonts w:hint="eastAsia" w:ascii="宋体" w:hAnsi="宋体" w:cs="宋体"/>
          <w:b/>
          <w:color w:val="FF0000"/>
          <w:sz w:val="24"/>
          <w:szCs w:val="24"/>
        </w:rPr>
        <w:t>”的产品）的名称、品牌、规格型号、数量、单价等内容进行公告。</w:t>
      </w:r>
    </w:p>
    <w:p>
      <w:pPr>
        <w:spacing w:line="460" w:lineRule="exact"/>
        <w:rPr>
          <w:rFonts w:ascii="宋体" w:hAnsi="宋体"/>
          <w:b/>
          <w:sz w:val="44"/>
          <w:szCs w:val="44"/>
        </w:rPr>
      </w:pPr>
    </w:p>
    <w:p>
      <w:pPr>
        <w:spacing w:line="460" w:lineRule="exact"/>
        <w:rPr>
          <w:rFonts w:ascii="宋体" w:hAnsi="宋体"/>
          <w:b/>
          <w:sz w:val="44"/>
          <w:szCs w:val="44"/>
        </w:rPr>
      </w:pPr>
    </w:p>
    <w:p>
      <w:pPr>
        <w:tabs>
          <w:tab w:val="left" w:pos="1050"/>
        </w:tabs>
        <w:spacing w:line="430" w:lineRule="exact"/>
        <w:ind w:firstLine="3935" w:firstLineChars="1400"/>
        <w:outlineLvl w:val="2"/>
        <w:rPr>
          <w:rFonts w:ascii="宋体" w:hAnsi="宋体" w:cs="宋体"/>
          <w:b/>
          <w:sz w:val="28"/>
          <w:szCs w:val="28"/>
        </w:rPr>
      </w:pPr>
      <w:r>
        <w:rPr>
          <w:rFonts w:hint="eastAsia" w:ascii="宋体" w:hAnsi="宋体" w:cs="宋体"/>
          <w:b/>
          <w:sz w:val="28"/>
          <w:szCs w:val="28"/>
        </w:rPr>
        <w:t>二、商务要求</w:t>
      </w:r>
    </w:p>
    <w:p>
      <w:pPr>
        <w:tabs>
          <w:tab w:val="left" w:pos="1050"/>
        </w:tabs>
        <w:spacing w:line="430" w:lineRule="exact"/>
        <w:jc w:val="center"/>
        <w:outlineLvl w:val="2"/>
        <w:rPr>
          <w:rFonts w:ascii="宋体" w:hAnsi="宋体" w:cs="宋体"/>
          <w:b/>
          <w:sz w:val="28"/>
          <w:szCs w:val="28"/>
          <w:u w:val="single"/>
        </w:rPr>
      </w:pPr>
      <w:r>
        <w:rPr>
          <w:rFonts w:hint="eastAsia" w:ascii="宋体" w:hAnsi="宋体" w:cs="宋体"/>
          <w:b/>
          <w:color w:val="FF0000"/>
          <w:sz w:val="28"/>
          <w:szCs w:val="28"/>
          <w:highlight w:val="yellow"/>
        </w:rPr>
        <w:t>（本项目商务要求为不允许负偏离的实质性要求和条件）</w:t>
      </w:r>
    </w:p>
    <w:p>
      <w:pPr>
        <w:snapToGrid w:val="0"/>
        <w:spacing w:line="430" w:lineRule="exact"/>
        <w:ind w:firstLine="548" w:firstLineChars="196"/>
        <w:rPr>
          <w:rFonts w:ascii="宋体" w:hAnsi="宋体" w:cs="宋体"/>
          <w:b/>
          <w:color w:val="FF0000"/>
          <w:sz w:val="28"/>
          <w:szCs w:val="28"/>
        </w:rPr>
      </w:pPr>
      <w:r>
        <w:rPr>
          <w:rFonts w:hint="eastAsia" w:ascii="宋体" w:hAnsi="宋体" w:cs="宋体"/>
          <w:color w:val="000000"/>
          <w:sz w:val="28"/>
          <w:szCs w:val="28"/>
        </w:rPr>
        <w:t>1、所有货物</w:t>
      </w:r>
      <w:r>
        <w:rPr>
          <w:rFonts w:hint="eastAsia" w:ascii="宋体" w:hAnsi="宋体" w:cs="宋体"/>
          <w:sz w:val="28"/>
          <w:szCs w:val="28"/>
        </w:rPr>
        <w:t>（包括零部件）</w:t>
      </w:r>
      <w:r>
        <w:rPr>
          <w:rFonts w:hint="eastAsia" w:ascii="宋体" w:hAnsi="宋体" w:cs="宋体"/>
          <w:color w:val="000000"/>
          <w:sz w:val="28"/>
          <w:szCs w:val="28"/>
        </w:rPr>
        <w:t>须为全新的、未使用过的原装正品。提交货物</w:t>
      </w:r>
      <w:r>
        <w:rPr>
          <w:rFonts w:hint="eastAsia" w:ascii="宋体" w:hAnsi="宋体" w:cs="宋体"/>
          <w:sz w:val="28"/>
          <w:szCs w:val="28"/>
        </w:rPr>
        <w:t>（含相关服务）</w:t>
      </w:r>
      <w:r>
        <w:rPr>
          <w:rFonts w:hint="eastAsia" w:ascii="宋体" w:hAnsi="宋体" w:cs="宋体"/>
          <w:color w:val="000000"/>
          <w:sz w:val="28"/>
          <w:szCs w:val="28"/>
        </w:rPr>
        <w:t>的技术参数和配置应与招标文件的要求及其投标文件的技术要求偏离表（如果被评委会接受的话）相一致。若招标文件及投标文件中无相应说明，则以国家有关部门最新颁布的相应标准及规范为准。</w:t>
      </w:r>
    </w:p>
    <w:p>
      <w:pPr>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2、技术支持</w:t>
      </w:r>
    </w:p>
    <w:p>
      <w:pPr>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2.1中标人应向采购人提供全方位及时而有效的技术支持和服务。</w:t>
      </w:r>
    </w:p>
    <w:p>
      <w:pPr>
        <w:snapToGrid w:val="0"/>
        <w:spacing w:line="430" w:lineRule="exact"/>
        <w:ind w:firstLine="560" w:firstLineChars="200"/>
        <w:rPr>
          <w:rFonts w:ascii="宋体" w:hAnsi="宋体" w:cs="宋体"/>
          <w:color w:val="000000"/>
          <w:sz w:val="28"/>
          <w:szCs w:val="28"/>
        </w:rPr>
      </w:pPr>
      <w:r>
        <w:rPr>
          <w:rFonts w:hint="eastAsia" w:ascii="宋体" w:hAnsi="宋体" w:cs="宋体"/>
          <w:color w:val="000000"/>
          <w:sz w:val="28"/>
          <w:szCs w:val="28"/>
        </w:rPr>
        <w:t>2.2中标人负责供货、运输并安装调试完毕。</w:t>
      </w:r>
    </w:p>
    <w:p>
      <w:pPr>
        <w:tabs>
          <w:tab w:val="left" w:pos="7545"/>
        </w:tabs>
        <w:spacing w:line="430" w:lineRule="exact"/>
        <w:ind w:firstLine="560" w:firstLineChars="200"/>
        <w:rPr>
          <w:rFonts w:ascii="宋体" w:hAnsi="宋体" w:cs="宋体"/>
          <w:sz w:val="28"/>
          <w:szCs w:val="28"/>
        </w:rPr>
      </w:pPr>
      <w:r>
        <w:rPr>
          <w:rFonts w:hint="eastAsia" w:ascii="宋体" w:hAnsi="宋体" w:cs="宋体"/>
          <w:sz w:val="28"/>
          <w:szCs w:val="28"/>
        </w:rPr>
        <w:t>3、质保及售后服务：</w:t>
      </w:r>
    </w:p>
    <w:p>
      <w:pPr>
        <w:spacing w:line="430" w:lineRule="exact"/>
        <w:ind w:firstLine="562" w:firstLineChars="200"/>
        <w:rPr>
          <w:rFonts w:ascii="宋体" w:hAnsi="宋体" w:cs="宋体"/>
          <w:sz w:val="28"/>
          <w:szCs w:val="28"/>
        </w:rPr>
      </w:pPr>
      <w:r>
        <w:rPr>
          <w:rFonts w:hint="eastAsia" w:ascii="宋体" w:hAnsi="宋体" w:cs="宋体"/>
          <w:b/>
          <w:sz w:val="28"/>
          <w:szCs w:val="28"/>
        </w:rPr>
        <w:t>4.1中标人所有货物须提供至少</w:t>
      </w:r>
      <w:r>
        <w:rPr>
          <w:rFonts w:hint="eastAsia" w:ascii="宋体" w:hAnsi="宋体" w:cs="宋体"/>
          <w:b/>
          <w:color w:val="FF0000"/>
          <w:sz w:val="28"/>
          <w:szCs w:val="28"/>
          <w:u w:val="single"/>
        </w:rPr>
        <w:t>3</w:t>
      </w:r>
      <w:r>
        <w:rPr>
          <w:rFonts w:hint="eastAsia" w:ascii="宋体" w:hAnsi="宋体" w:cs="宋体"/>
          <w:b/>
          <w:color w:val="FF0000"/>
          <w:sz w:val="28"/>
          <w:szCs w:val="28"/>
        </w:rPr>
        <w:t>年</w:t>
      </w:r>
      <w:r>
        <w:rPr>
          <w:rFonts w:hint="eastAsia" w:ascii="宋体" w:hAnsi="宋体" w:cs="宋体"/>
          <w:b/>
          <w:sz w:val="28"/>
          <w:szCs w:val="28"/>
        </w:rPr>
        <w:t>的免费质保服务（自验收合格之日起计算）。</w:t>
      </w:r>
      <w:r>
        <w:rPr>
          <w:rFonts w:hint="eastAsia" w:ascii="宋体" w:hAnsi="宋体" w:cs="宋体"/>
          <w:sz w:val="28"/>
          <w:szCs w:val="28"/>
        </w:rPr>
        <w:t>所</w:t>
      </w:r>
      <w:r>
        <w:rPr>
          <w:rFonts w:hint="eastAsia" w:ascii="宋体" w:hAnsi="宋体" w:cs="宋体"/>
          <w:color w:val="000000"/>
          <w:sz w:val="28"/>
          <w:szCs w:val="28"/>
        </w:rPr>
        <w:t>有质</w:t>
      </w:r>
      <w:r>
        <w:rPr>
          <w:rFonts w:hint="eastAsia" w:ascii="宋体" w:hAnsi="宋体" w:cs="宋体"/>
          <w:sz w:val="28"/>
          <w:szCs w:val="28"/>
        </w:rPr>
        <w:t>保费用均已包含在投标总报价中。免费质保期满后，应提供优先的有偿售后服务及按不高于投标文件中主要配件、易损件清单所报价格供应原厂零配件等。软件终身免费升级、免费使用。</w:t>
      </w:r>
    </w:p>
    <w:p>
      <w:pPr>
        <w:spacing w:line="430" w:lineRule="exact"/>
        <w:ind w:firstLine="560" w:firstLineChars="200"/>
        <w:rPr>
          <w:rFonts w:ascii="宋体" w:hAnsi="宋体" w:cs="宋体"/>
          <w:sz w:val="28"/>
          <w:szCs w:val="28"/>
        </w:rPr>
      </w:pPr>
      <w:r>
        <w:rPr>
          <w:rFonts w:hint="eastAsia" w:ascii="宋体" w:hAnsi="宋体" w:cs="宋体"/>
          <w:sz w:val="28"/>
          <w:szCs w:val="28"/>
        </w:rPr>
        <w:t>4.2中标人须设有维修服务电话，负责解答用户在货物使用中遇到的问题，及时提出解决问题的建议和操作方法。</w:t>
      </w:r>
    </w:p>
    <w:p>
      <w:pPr>
        <w:spacing w:line="430" w:lineRule="exact"/>
        <w:ind w:firstLine="560" w:firstLineChars="200"/>
        <w:rPr>
          <w:rFonts w:ascii="宋体" w:hAnsi="宋体" w:cs="宋体"/>
          <w:sz w:val="28"/>
          <w:szCs w:val="28"/>
        </w:rPr>
      </w:pPr>
      <w:r>
        <w:rPr>
          <w:rFonts w:hint="eastAsia" w:ascii="宋体" w:hAnsi="宋体" w:cs="宋体"/>
          <w:sz w:val="28"/>
          <w:szCs w:val="28"/>
        </w:rPr>
        <w:t>4.3售后服务响应时间：如货物出现质量问题，中标人须</w:t>
      </w:r>
      <w:r>
        <w:rPr>
          <w:rFonts w:hint="eastAsia" w:ascii="宋体" w:hAnsi="宋体" w:cs="宋体"/>
          <w:color w:val="FF0000"/>
          <w:sz w:val="28"/>
          <w:szCs w:val="28"/>
          <w:u w:val="single"/>
        </w:rPr>
        <w:t>1小时内</w:t>
      </w:r>
      <w:r>
        <w:rPr>
          <w:rFonts w:hint="eastAsia" w:ascii="宋体" w:hAnsi="宋体" w:cs="宋体"/>
          <w:sz w:val="28"/>
          <w:szCs w:val="28"/>
        </w:rPr>
        <w:t>响应,电话响应无法解决，中标人必须在接报修电话</w:t>
      </w:r>
      <w:r>
        <w:rPr>
          <w:rFonts w:hint="eastAsia" w:ascii="宋体" w:hAnsi="宋体" w:cs="宋体"/>
          <w:color w:val="FF0000"/>
          <w:sz w:val="28"/>
          <w:szCs w:val="28"/>
          <w:u w:val="single"/>
        </w:rPr>
        <w:t>4小时</w:t>
      </w:r>
      <w:r>
        <w:rPr>
          <w:rFonts w:hint="eastAsia" w:ascii="宋体" w:hAnsi="宋体" w:cs="宋体"/>
          <w:sz w:val="28"/>
          <w:szCs w:val="28"/>
        </w:rPr>
        <w:t>内到达现场,</w:t>
      </w:r>
      <w:r>
        <w:rPr>
          <w:rFonts w:hint="eastAsia" w:ascii="宋体" w:hAnsi="宋体" w:cs="宋体"/>
          <w:color w:val="FF0000"/>
          <w:sz w:val="28"/>
          <w:szCs w:val="28"/>
        </w:rPr>
        <w:t>4</w:t>
      </w:r>
      <w:r>
        <w:rPr>
          <w:rFonts w:hint="eastAsia" w:ascii="宋体" w:hAnsi="宋体" w:cs="宋体"/>
          <w:color w:val="FF0000"/>
          <w:sz w:val="28"/>
          <w:szCs w:val="28"/>
          <w:u w:val="single"/>
        </w:rPr>
        <w:t>小时</w:t>
      </w:r>
      <w:r>
        <w:rPr>
          <w:rFonts w:hint="eastAsia" w:ascii="宋体" w:hAnsi="宋体" w:cs="宋体"/>
          <w:sz w:val="28"/>
          <w:szCs w:val="28"/>
        </w:rPr>
        <w:t>内解决问题。如不能解决的，中标人需免费提供备品备件供采购人使用。免费质保期内如货物出现质量问题，中标人负责免费修复，对于无法修复的情况，中标人负责免费更换。</w:t>
      </w:r>
    </w:p>
    <w:p>
      <w:pPr>
        <w:spacing w:line="430" w:lineRule="exact"/>
        <w:ind w:firstLine="560" w:firstLineChars="200"/>
        <w:rPr>
          <w:rFonts w:ascii="宋体" w:hAnsi="宋体" w:cs="宋体"/>
          <w:sz w:val="28"/>
          <w:szCs w:val="28"/>
        </w:rPr>
      </w:pPr>
      <w:r>
        <w:rPr>
          <w:rFonts w:hint="eastAsia" w:ascii="宋体" w:hAnsi="宋体" w:cs="宋体"/>
          <w:sz w:val="28"/>
          <w:szCs w:val="28"/>
        </w:rPr>
        <w:t>5、培训：</w:t>
      </w:r>
    </w:p>
    <w:p>
      <w:pPr>
        <w:spacing w:line="430" w:lineRule="exact"/>
        <w:ind w:firstLine="560" w:firstLineChars="200"/>
        <w:rPr>
          <w:rFonts w:ascii="宋体" w:hAnsi="宋体" w:cs="宋体"/>
          <w:sz w:val="28"/>
          <w:szCs w:val="28"/>
        </w:rPr>
      </w:pPr>
      <w:r>
        <w:rPr>
          <w:rFonts w:hint="eastAsia" w:ascii="宋体" w:hAnsi="宋体" w:cs="宋体"/>
          <w:sz w:val="28"/>
          <w:szCs w:val="28"/>
        </w:rPr>
        <w:t>5.1中标人应对采购人的操作人员提供现场培训。</w:t>
      </w:r>
    </w:p>
    <w:p>
      <w:pPr>
        <w:spacing w:line="430" w:lineRule="exact"/>
        <w:ind w:firstLine="560" w:firstLineChars="200"/>
        <w:rPr>
          <w:rFonts w:ascii="宋体" w:hAnsi="宋体" w:cs="宋体"/>
          <w:sz w:val="28"/>
          <w:szCs w:val="28"/>
        </w:rPr>
      </w:pPr>
      <w:r>
        <w:rPr>
          <w:rFonts w:hint="eastAsia" w:ascii="宋体" w:hAnsi="宋体" w:cs="宋体"/>
          <w:sz w:val="28"/>
          <w:szCs w:val="28"/>
        </w:rPr>
        <w:t>5.2现场培训能够根据采购人需要，合理安排，使采购人能够全面掌握设备的工作原理，熟练独立操作设备，并能够对设备进行日常维护与保养，简单故障诊断与排除。</w:t>
      </w:r>
    </w:p>
    <w:p>
      <w:pPr>
        <w:spacing w:line="430" w:lineRule="exact"/>
        <w:ind w:firstLine="560" w:firstLineChars="200"/>
        <w:rPr>
          <w:rFonts w:ascii="宋体" w:hAnsi="宋体" w:cs="宋体"/>
          <w:sz w:val="28"/>
          <w:szCs w:val="28"/>
        </w:rPr>
      </w:pPr>
      <w:r>
        <w:rPr>
          <w:rFonts w:hint="eastAsia" w:ascii="宋体" w:hAnsi="宋体" w:cs="宋体"/>
          <w:sz w:val="28"/>
          <w:szCs w:val="28"/>
        </w:rPr>
        <w:t>5.3培训费用包含在总投标价中。</w:t>
      </w:r>
    </w:p>
    <w:p>
      <w:pPr>
        <w:spacing w:line="430" w:lineRule="exact"/>
        <w:ind w:firstLine="562" w:firstLineChars="200"/>
        <w:rPr>
          <w:rFonts w:ascii="宋体" w:hAnsi="宋体" w:cs="宋体"/>
          <w:b/>
          <w:sz w:val="28"/>
          <w:szCs w:val="28"/>
        </w:rPr>
      </w:pPr>
      <w:r>
        <w:rPr>
          <w:rFonts w:hint="eastAsia" w:ascii="宋体" w:hAnsi="宋体" w:cs="宋体"/>
          <w:b/>
          <w:sz w:val="28"/>
          <w:szCs w:val="28"/>
        </w:rPr>
        <w:t>6、供货期：自合同签订之</w:t>
      </w:r>
      <w:r>
        <w:rPr>
          <w:rFonts w:hint="eastAsia" w:ascii="宋体" w:hAnsi="宋体" w:cs="宋体"/>
          <w:b/>
          <w:color w:val="FF0000"/>
          <w:sz w:val="28"/>
          <w:szCs w:val="28"/>
          <w:u w:val="single"/>
        </w:rPr>
        <w:t>10日</w:t>
      </w:r>
      <w:r>
        <w:rPr>
          <w:rFonts w:hint="eastAsia" w:ascii="宋体" w:hAnsi="宋体" w:cs="宋体"/>
          <w:b/>
          <w:sz w:val="28"/>
          <w:szCs w:val="28"/>
        </w:rPr>
        <w:t>内供货并安装调试完毕。</w:t>
      </w:r>
    </w:p>
    <w:p>
      <w:pPr>
        <w:spacing w:line="430" w:lineRule="exact"/>
        <w:ind w:firstLine="560" w:firstLineChars="200"/>
        <w:rPr>
          <w:rFonts w:ascii="宋体" w:hAnsi="宋体" w:cs="宋体"/>
          <w:sz w:val="28"/>
          <w:szCs w:val="28"/>
        </w:rPr>
      </w:pPr>
      <w:r>
        <w:rPr>
          <w:rFonts w:hint="eastAsia" w:ascii="宋体" w:hAnsi="宋体" w:cs="宋体"/>
          <w:sz w:val="28"/>
          <w:szCs w:val="28"/>
        </w:rPr>
        <w:t>7、供货与安装地点：马鞍山市人民医院。</w:t>
      </w:r>
    </w:p>
    <w:p>
      <w:pPr>
        <w:spacing w:line="430" w:lineRule="exact"/>
        <w:ind w:firstLine="560" w:firstLineChars="200"/>
        <w:rPr>
          <w:rFonts w:ascii="宋体" w:hAnsi="宋体" w:cs="宋体"/>
          <w:sz w:val="28"/>
          <w:szCs w:val="28"/>
        </w:rPr>
      </w:pPr>
      <w:r>
        <w:rPr>
          <w:rFonts w:hint="eastAsia" w:ascii="宋体" w:hAnsi="宋体" w:cs="宋体"/>
          <w:sz w:val="28"/>
          <w:szCs w:val="28"/>
        </w:rPr>
        <w:t>8、验收：</w:t>
      </w:r>
    </w:p>
    <w:p>
      <w:pPr>
        <w:spacing w:line="430" w:lineRule="exact"/>
        <w:ind w:firstLine="560" w:firstLineChars="200"/>
        <w:rPr>
          <w:rFonts w:ascii="宋体" w:hAnsi="宋体" w:cs="宋体"/>
          <w:sz w:val="28"/>
          <w:szCs w:val="28"/>
        </w:rPr>
      </w:pPr>
      <w:r>
        <w:rPr>
          <w:rFonts w:hint="eastAsia" w:ascii="宋体" w:hAnsi="宋体" w:cs="宋体"/>
          <w:sz w:val="28"/>
          <w:szCs w:val="28"/>
        </w:rPr>
        <w:t>8.1采购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采购人须约请相关部门和专家参加项目验收。所有需要质检部门进行检测才能使用的设备，投标报价中必须包含首次检测费用。</w:t>
      </w:r>
    </w:p>
    <w:p>
      <w:pPr>
        <w:spacing w:line="430" w:lineRule="exact"/>
        <w:ind w:firstLine="560" w:firstLineChars="200"/>
        <w:rPr>
          <w:rFonts w:ascii="宋体" w:hAnsi="宋体" w:cs="宋体"/>
          <w:sz w:val="28"/>
          <w:szCs w:val="28"/>
        </w:rPr>
      </w:pPr>
      <w:r>
        <w:rPr>
          <w:rFonts w:hint="eastAsia" w:ascii="宋体" w:hAnsi="宋体" w:cs="宋体"/>
          <w:sz w:val="28"/>
          <w:szCs w:val="28"/>
        </w:rPr>
        <w:t>8.2货物在验收时，投标人应提供发票、制造厂家出具的产品合格证书、装箱清单等,涉及进口的货物须提供中国海关进口货物报关单、完税证明及商检证明等材料；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(如产品质量检验报告、国家相关检测机构出具的检验报告等）等文件汇集成册交付采购人和应由中标人提供的必要文件。</w:t>
      </w:r>
    </w:p>
    <w:p>
      <w:pPr>
        <w:spacing w:line="430" w:lineRule="exact"/>
        <w:ind w:firstLine="560" w:firstLineChars="200"/>
        <w:rPr>
          <w:rFonts w:ascii="宋体" w:hAnsi="宋体" w:cs="宋体"/>
          <w:sz w:val="28"/>
          <w:szCs w:val="28"/>
        </w:rPr>
      </w:pPr>
      <w:r>
        <w:rPr>
          <w:rFonts w:hint="eastAsia" w:ascii="宋体" w:hAnsi="宋体" w:cs="宋体"/>
          <w:sz w:val="28"/>
          <w:szCs w:val="28"/>
        </w:rPr>
        <w:t>8.3中标人应根据采购人使用单位的技术要求提供相应的软硬件产品。由中标人所提供的设备部件间的连线和插接件均应视为设备内部器件，包含在相应的设备之中。</w:t>
      </w:r>
    </w:p>
    <w:p>
      <w:pPr>
        <w:spacing w:line="430" w:lineRule="exact"/>
        <w:ind w:firstLine="560" w:firstLineChars="200"/>
        <w:rPr>
          <w:rFonts w:ascii="宋体" w:hAnsi="宋体" w:cs="宋体"/>
          <w:sz w:val="28"/>
          <w:szCs w:val="28"/>
        </w:rPr>
      </w:pPr>
      <w:r>
        <w:rPr>
          <w:rFonts w:hint="eastAsia" w:ascii="宋体" w:hAnsi="宋体" w:cs="宋体"/>
          <w:sz w:val="28"/>
          <w:szCs w:val="28"/>
        </w:rPr>
        <w:t>8.4所有货物安装时若需使用特殊的接头、插座、线缆、线槽、电管、线卡、桥架、线盒、软管、特殊安装工具等备件由中标人提供，费用包含在总投标价中。</w:t>
      </w:r>
    </w:p>
    <w:p>
      <w:pPr>
        <w:spacing w:line="430" w:lineRule="exact"/>
        <w:ind w:firstLine="560" w:firstLineChars="200"/>
        <w:rPr>
          <w:rFonts w:ascii="宋体" w:hAnsi="宋体" w:cs="宋体"/>
          <w:b/>
          <w:sz w:val="28"/>
          <w:szCs w:val="28"/>
        </w:rPr>
      </w:pPr>
      <w:r>
        <w:rPr>
          <w:rFonts w:hint="eastAsia" w:ascii="宋体" w:hAnsi="宋体" w:cs="宋体"/>
          <w:sz w:val="28"/>
          <w:szCs w:val="28"/>
        </w:rPr>
        <w:t>8.5对货物进行全面的验收，对验收中暴露出来的问题，中标人应及时进行整改，最终验收合格后，采购人向中标人签发最终验收证明。</w:t>
      </w:r>
    </w:p>
    <w:p>
      <w:pPr>
        <w:spacing w:line="430" w:lineRule="exact"/>
        <w:ind w:firstLine="560" w:firstLineChars="200"/>
        <w:contextualSpacing/>
        <w:rPr>
          <w:rFonts w:ascii="宋体" w:hAnsi="宋体" w:cs="宋体"/>
          <w:sz w:val="28"/>
          <w:szCs w:val="28"/>
        </w:rPr>
      </w:pPr>
      <w:r>
        <w:rPr>
          <w:rFonts w:hint="eastAsia" w:ascii="宋体" w:hAnsi="宋体" w:cs="宋体"/>
          <w:sz w:val="28"/>
          <w:szCs w:val="28"/>
        </w:rPr>
        <w:t>8.6中标人应向采购人提供安装调试过程中的各种文档资料,以便采购人今后能掌握操作和维护方法。</w:t>
      </w:r>
    </w:p>
    <w:p>
      <w:pPr>
        <w:spacing w:line="430" w:lineRule="exact"/>
        <w:ind w:firstLine="560" w:firstLineChars="200"/>
        <w:contextualSpacing/>
        <w:rPr>
          <w:rFonts w:ascii="宋体" w:hAnsi="宋体" w:cs="宋体"/>
          <w:sz w:val="28"/>
          <w:szCs w:val="28"/>
        </w:rPr>
      </w:pPr>
      <w:r>
        <w:rPr>
          <w:rFonts w:hint="eastAsia" w:ascii="宋体" w:hAnsi="宋体" w:cs="宋体"/>
          <w:sz w:val="28"/>
          <w:szCs w:val="28"/>
        </w:rPr>
        <w:t>9、付款方式：验收合格30日后，支付合同总价的95%，余款5%质保期满之后1个月内付清。</w:t>
      </w:r>
    </w:p>
    <w:p>
      <w:pPr>
        <w:pStyle w:val="2"/>
        <w:ind w:firstLine="560" w:firstLineChars="200"/>
      </w:pPr>
      <w:r>
        <w:rPr>
          <w:rFonts w:hint="eastAsia" w:hAnsi="宋体" w:cs="宋体"/>
          <w:sz w:val="28"/>
          <w:szCs w:val="28"/>
        </w:rPr>
        <w:t>10、本项目总投标价包括了履行合同所有内容的全部费用。总投标价包含了交付使用前的全部费用，包括货物购置费（所有设备、辅材、零配件、易损件、备品备件及专用工具等）、安装调试费、原有的设备拆除费、人工费、交通费、食宿费、管理费、运输费、保险费、免费质保期内的维护维修费、培训费、验收费、采购代理服务费、其他费用（如包装费、仓储费、保管费、资料费、软件升级费以及完成本项目所需要的其他费用）及所有价内价外税金及合理利润等。</w:t>
      </w:r>
    </w:p>
    <w:p>
      <w:pPr>
        <w:ind w:firstLine="482"/>
        <w:jc w:val="center"/>
        <w:rPr>
          <w:rStyle w:val="30"/>
          <w:rFonts w:ascii="仿宋_GB2312" w:hAnsi="宋体" w:eastAsia="仿宋_GB2312"/>
          <w:b/>
          <w:kern w:val="1"/>
          <w:sz w:val="32"/>
          <w:szCs w:val="32"/>
        </w:rPr>
      </w:pPr>
    </w:p>
    <w:p>
      <w:pPr>
        <w:pStyle w:val="2"/>
        <w:rPr>
          <w:rStyle w:val="30"/>
          <w:rFonts w:ascii="仿宋_GB2312" w:hAnsi="宋体" w:eastAsia="仿宋_GB2312"/>
          <w:b/>
          <w:kern w:val="1"/>
          <w:sz w:val="32"/>
          <w:szCs w:val="32"/>
        </w:rPr>
      </w:pPr>
    </w:p>
    <w:p>
      <w:pPr>
        <w:pStyle w:val="2"/>
        <w:rPr>
          <w:rStyle w:val="30"/>
          <w:rFonts w:ascii="仿宋_GB2312" w:hAnsi="宋体" w:eastAsia="仿宋_GB2312"/>
          <w:b/>
          <w:kern w:val="1"/>
          <w:sz w:val="32"/>
          <w:szCs w:val="32"/>
        </w:rPr>
      </w:pPr>
    </w:p>
    <w:p>
      <w:pPr>
        <w:pStyle w:val="2"/>
        <w:rPr>
          <w:rStyle w:val="30"/>
          <w:rFonts w:ascii="仿宋_GB2312" w:hAnsi="宋体" w:eastAsia="仿宋_GB2312"/>
          <w:b/>
          <w:kern w:val="1"/>
          <w:sz w:val="32"/>
          <w:szCs w:val="32"/>
        </w:rPr>
      </w:pPr>
    </w:p>
    <w:p>
      <w:pPr>
        <w:pStyle w:val="2"/>
        <w:rPr>
          <w:rStyle w:val="30"/>
          <w:rFonts w:ascii="仿宋_GB2312" w:hAnsi="宋体" w:eastAsia="仿宋_GB2312"/>
          <w:b/>
          <w:kern w:val="1"/>
          <w:sz w:val="32"/>
          <w:szCs w:val="32"/>
        </w:rPr>
      </w:pPr>
    </w:p>
    <w:p>
      <w:pPr>
        <w:widowControl w:val="0"/>
        <w:tabs>
          <w:tab w:val="left" w:pos="3753"/>
        </w:tabs>
        <w:jc w:val="center"/>
        <w:textAlignment w:val="auto"/>
        <w:rPr>
          <w:rFonts w:hint="eastAsia" w:ascii="宋体" w:hAnsi="宋体" w:cs="宋体"/>
          <w:b/>
          <w:bCs/>
          <w:sz w:val="28"/>
          <w:szCs w:val="28"/>
        </w:rPr>
      </w:pPr>
    </w:p>
    <w:p>
      <w:pPr>
        <w:widowControl w:val="0"/>
        <w:tabs>
          <w:tab w:val="left" w:pos="3753"/>
        </w:tabs>
        <w:jc w:val="center"/>
        <w:textAlignment w:val="auto"/>
        <w:rPr>
          <w:rFonts w:hint="eastAsia" w:ascii="宋体" w:hAnsi="宋体" w:cs="宋体"/>
          <w:b/>
          <w:bCs/>
          <w:sz w:val="28"/>
          <w:szCs w:val="28"/>
        </w:rPr>
      </w:pPr>
    </w:p>
    <w:p>
      <w:pPr>
        <w:widowControl w:val="0"/>
        <w:tabs>
          <w:tab w:val="left" w:pos="3753"/>
        </w:tabs>
        <w:jc w:val="center"/>
        <w:textAlignment w:val="auto"/>
        <w:rPr>
          <w:rFonts w:hint="eastAsia" w:ascii="宋体" w:hAnsi="宋体" w:eastAsia="宋体" w:cs="宋体"/>
          <w:b/>
          <w:bCs/>
          <w:sz w:val="28"/>
          <w:szCs w:val="28"/>
          <w:lang w:eastAsia="zh-CN"/>
        </w:rPr>
      </w:pPr>
      <w:r>
        <w:rPr>
          <w:rFonts w:hint="eastAsia" w:ascii="宋体" w:hAnsi="宋体" w:cs="宋体"/>
          <w:b/>
          <w:bCs/>
          <w:sz w:val="28"/>
          <w:szCs w:val="28"/>
        </w:rPr>
        <w:t>评标标准</w:t>
      </w:r>
      <w:r>
        <w:rPr>
          <w:rFonts w:hint="eastAsia" w:ascii="宋体" w:hAnsi="宋体" w:cs="宋体"/>
          <w:b/>
          <w:bCs/>
          <w:sz w:val="28"/>
          <w:szCs w:val="28"/>
          <w:lang w:eastAsia="zh-CN"/>
        </w:rPr>
        <w:t>（</w:t>
      </w:r>
      <w:r>
        <w:rPr>
          <w:rFonts w:hint="eastAsia" w:ascii="宋体" w:hAnsi="宋体" w:cs="宋体"/>
          <w:b/>
          <w:bCs/>
          <w:sz w:val="28"/>
          <w:szCs w:val="28"/>
          <w:lang w:val="en-US" w:eastAsia="zh-CN"/>
        </w:rPr>
        <w:t>仅供参考</w:t>
      </w:r>
      <w:r>
        <w:rPr>
          <w:rFonts w:hint="eastAsia" w:ascii="宋体" w:hAnsi="宋体" w:cs="宋体"/>
          <w:b/>
          <w:bCs/>
          <w:sz w:val="28"/>
          <w:szCs w:val="28"/>
          <w:lang w:eastAsia="zh-CN"/>
        </w:rPr>
        <w:t>）</w:t>
      </w:r>
    </w:p>
    <w:p>
      <w:pPr>
        <w:pStyle w:val="2"/>
      </w:pPr>
    </w:p>
    <w:tbl>
      <w:tblPr>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53"/>
        <w:gridCol w:w="1112"/>
        <w:gridCol w:w="732"/>
        <w:gridCol w:w="6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453" w:type="dxa"/>
            <w:vAlign w:val="center"/>
          </w:tcPr>
          <w:p>
            <w:pPr>
              <w:pStyle w:val="29"/>
              <w:spacing w:after="0" w:line="240" w:lineRule="auto"/>
              <w:ind w:leftChars="0"/>
              <w:contextualSpacing/>
              <w:rPr>
                <w:rFonts w:ascii="宋体" w:hAnsi="宋体" w:cs="宋体"/>
                <w:b/>
                <w:sz w:val="24"/>
                <w:szCs w:val="24"/>
              </w:rPr>
            </w:pPr>
            <w:r>
              <w:rPr>
                <w:rFonts w:hint="eastAsia" w:ascii="宋体" w:hAnsi="宋体" w:cs="宋体"/>
                <w:b/>
                <w:sz w:val="24"/>
                <w:szCs w:val="24"/>
              </w:rPr>
              <w:t>序号</w:t>
            </w:r>
          </w:p>
        </w:tc>
        <w:tc>
          <w:tcPr>
            <w:tcW w:w="1112" w:type="dxa"/>
            <w:vAlign w:val="center"/>
          </w:tcPr>
          <w:p>
            <w:pPr>
              <w:pStyle w:val="29"/>
              <w:spacing w:after="0" w:line="240" w:lineRule="auto"/>
              <w:ind w:leftChars="0"/>
              <w:contextualSpacing/>
              <w:rPr>
                <w:rFonts w:ascii="宋体" w:hAnsi="宋体" w:cs="宋体"/>
                <w:b/>
                <w:sz w:val="24"/>
                <w:szCs w:val="24"/>
              </w:rPr>
            </w:pPr>
            <w:r>
              <w:rPr>
                <w:rFonts w:hint="eastAsia" w:ascii="宋体" w:hAnsi="宋体" w:cs="宋体"/>
                <w:b/>
                <w:sz w:val="24"/>
                <w:szCs w:val="24"/>
              </w:rPr>
              <w:t>评分项目</w:t>
            </w:r>
          </w:p>
        </w:tc>
        <w:tc>
          <w:tcPr>
            <w:tcW w:w="732" w:type="dxa"/>
            <w:vAlign w:val="center"/>
          </w:tcPr>
          <w:p>
            <w:pPr>
              <w:pStyle w:val="29"/>
              <w:spacing w:after="0" w:line="240" w:lineRule="auto"/>
              <w:ind w:leftChars="0"/>
              <w:contextualSpacing/>
              <w:rPr>
                <w:rFonts w:ascii="宋体" w:hAnsi="宋体" w:cs="宋体"/>
                <w:b/>
                <w:sz w:val="24"/>
                <w:szCs w:val="24"/>
              </w:rPr>
            </w:pPr>
            <w:r>
              <w:rPr>
                <w:rFonts w:hint="eastAsia" w:ascii="宋体" w:hAnsi="宋体" w:cs="宋体"/>
                <w:b/>
                <w:sz w:val="24"/>
                <w:szCs w:val="24"/>
              </w:rPr>
              <w:t>满分值</w:t>
            </w:r>
          </w:p>
        </w:tc>
        <w:tc>
          <w:tcPr>
            <w:tcW w:w="6433" w:type="dxa"/>
            <w:vAlign w:val="center"/>
          </w:tcPr>
          <w:p>
            <w:pPr>
              <w:pStyle w:val="29"/>
              <w:spacing w:after="0" w:line="240" w:lineRule="auto"/>
              <w:ind w:leftChars="0"/>
              <w:contextualSpacing/>
              <w:rPr>
                <w:rFonts w:ascii="宋体" w:hAnsi="宋体" w:cs="宋体"/>
                <w:b/>
                <w:sz w:val="24"/>
                <w:szCs w:val="24"/>
              </w:rPr>
            </w:pPr>
            <w:r>
              <w:rPr>
                <w:rFonts w:hint="eastAsia" w:ascii="宋体" w:hAnsi="宋体" w:cs="宋体"/>
                <w:b/>
                <w:sz w:val="24"/>
                <w:szCs w:val="24"/>
              </w:rPr>
              <w:t>评分内容及标准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453" w:type="dxa"/>
            <w:vAlign w:val="center"/>
          </w:tcPr>
          <w:p>
            <w:pPr>
              <w:contextualSpacing/>
              <w:jc w:val="center"/>
              <w:rPr>
                <w:rFonts w:ascii="宋体" w:hAnsi="宋体" w:cs="宋体"/>
                <w:sz w:val="24"/>
                <w:szCs w:val="24"/>
              </w:rPr>
            </w:pPr>
            <w:r>
              <w:rPr>
                <w:rFonts w:hint="eastAsia" w:ascii="宋体" w:hAnsi="宋体" w:cs="宋体"/>
                <w:sz w:val="24"/>
                <w:szCs w:val="24"/>
              </w:rPr>
              <w:t>1</w:t>
            </w:r>
          </w:p>
        </w:tc>
        <w:tc>
          <w:tcPr>
            <w:tcW w:w="1112" w:type="dxa"/>
            <w:vAlign w:val="center"/>
          </w:tcPr>
          <w:p>
            <w:pPr>
              <w:contextualSpacing/>
              <w:jc w:val="center"/>
              <w:rPr>
                <w:rFonts w:ascii="宋体" w:hAnsi="宋体" w:cs="宋体"/>
                <w:sz w:val="24"/>
                <w:szCs w:val="24"/>
              </w:rPr>
            </w:pPr>
            <w:r>
              <w:rPr>
                <w:rFonts w:hint="eastAsia" w:ascii="宋体" w:hAnsi="宋体" w:cs="宋体"/>
                <w:sz w:val="24"/>
                <w:szCs w:val="24"/>
              </w:rPr>
              <w:t>价格分</w:t>
            </w:r>
          </w:p>
        </w:tc>
        <w:tc>
          <w:tcPr>
            <w:tcW w:w="732" w:type="dxa"/>
            <w:vAlign w:val="center"/>
          </w:tcPr>
          <w:p>
            <w:pPr>
              <w:pStyle w:val="29"/>
              <w:spacing w:after="0" w:line="240" w:lineRule="auto"/>
              <w:ind w:leftChars="0"/>
              <w:contextualSpacing/>
              <w:rPr>
                <w:rFonts w:ascii="宋体" w:hAnsi="宋体" w:cs="宋体"/>
                <w:sz w:val="24"/>
                <w:szCs w:val="24"/>
              </w:rPr>
            </w:pPr>
            <w:r>
              <w:rPr>
                <w:rFonts w:hint="eastAsia" w:ascii="宋体" w:hAnsi="宋体" w:cs="宋体"/>
                <w:sz w:val="24"/>
                <w:szCs w:val="24"/>
              </w:rPr>
              <w:t>30分</w:t>
            </w:r>
          </w:p>
        </w:tc>
        <w:tc>
          <w:tcPr>
            <w:tcW w:w="6433" w:type="dxa"/>
            <w:vAlign w:val="center"/>
          </w:tcPr>
          <w:p>
            <w:pPr>
              <w:contextualSpacing/>
              <w:jc w:val="left"/>
              <w:rPr>
                <w:rFonts w:ascii="宋体" w:hAnsi="宋体" w:cs="宋体"/>
                <w:sz w:val="24"/>
                <w:szCs w:val="24"/>
              </w:rPr>
            </w:pPr>
            <w:r>
              <w:rPr>
                <w:rFonts w:hint="eastAsia" w:ascii="宋体" w:hAnsi="宋体" w:cs="宋体"/>
                <w:sz w:val="24"/>
                <w:szCs w:val="24"/>
              </w:rPr>
              <w:t>以通过以上评审标准的投标人的有效最低总投标价为评标基准价，得满分，其余投标人的商务标得分均按照以下方式计算：商务标得分=（评标基准价/投标人的总投标价）×35%×100。（小数点后面保留两位小数，第三位四舍五入）。</w:t>
            </w:r>
          </w:p>
          <w:p>
            <w:pPr>
              <w:contextualSpacing/>
              <w:jc w:val="left"/>
              <w:rPr>
                <w:rFonts w:ascii="宋体" w:hAnsi="宋体" w:cs="宋体"/>
                <w:color w:val="FF0000"/>
                <w:sz w:val="24"/>
                <w:szCs w:val="24"/>
              </w:rPr>
            </w:pPr>
            <w:r>
              <w:rPr>
                <w:rFonts w:hint="eastAsia" w:ascii="宋体" w:hAnsi="宋体" w:cs="宋体"/>
                <w:color w:val="FF0000"/>
                <w:sz w:val="24"/>
                <w:szCs w:val="24"/>
              </w:rPr>
              <w:t>注：</w:t>
            </w:r>
          </w:p>
          <w:p>
            <w:pPr>
              <w:contextualSpacing/>
              <w:jc w:val="left"/>
              <w:rPr>
                <w:rFonts w:ascii="宋体" w:hAnsi="宋体" w:cs="宋体"/>
                <w:color w:val="FF0000"/>
                <w:sz w:val="24"/>
                <w:szCs w:val="24"/>
              </w:rPr>
            </w:pPr>
            <w:r>
              <w:rPr>
                <w:rFonts w:hint="eastAsia" w:ascii="宋体" w:hAnsi="宋体" w:cs="宋体"/>
                <w:color w:val="FF0000"/>
                <w:sz w:val="24"/>
                <w:szCs w:val="24"/>
              </w:rPr>
              <w:t>（1）评审过程中，参与投标的企业为中小企业，对本企业生产或提供服务的产品进行价格扣除，中型企业产品的价格给予3%的扣除，对小型和微型企业产品的价格给予6%的扣除，用扣除后的价格进行价格分计算。</w:t>
            </w:r>
            <w:r>
              <w:rPr>
                <w:rFonts w:hint="eastAsia" w:ascii="宋体" w:hAnsi="宋体" w:cs="宋体"/>
                <w:color w:val="FF0000"/>
                <w:sz w:val="24"/>
                <w:szCs w:val="24"/>
              </w:rPr>
              <w:br/>
            </w:r>
            <w:r>
              <w:rPr>
                <w:rFonts w:hint="eastAsia" w:ascii="宋体" w:hAnsi="宋体" w:cs="宋体"/>
                <w:color w:val="FF0000"/>
                <w:sz w:val="24"/>
                <w:szCs w:val="24"/>
              </w:rPr>
              <w:t>（2）评审过程中，参与投标的企业为中小企业，对所投其他制造商生产的产品（只限货物）中为中小型企业产品的部分进行价格扣除，中型企业产品给予3%的价格扣除，小型、微型企业产品给予6%的价格扣除，用扣除后的价格进行价格分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28" w:hRule="atLeast"/>
          <w:jc w:val="center"/>
        </w:trPr>
        <w:tc>
          <w:tcPr>
            <w:tcW w:w="453" w:type="dxa"/>
            <w:vAlign w:val="center"/>
          </w:tcPr>
          <w:p>
            <w:pPr>
              <w:contextualSpacing/>
              <w:jc w:val="center"/>
              <w:rPr>
                <w:rFonts w:ascii="宋体" w:hAnsi="宋体" w:cs="宋体"/>
                <w:b/>
                <w:sz w:val="24"/>
                <w:szCs w:val="24"/>
              </w:rPr>
            </w:pPr>
            <w:r>
              <w:rPr>
                <w:rFonts w:hint="eastAsia" w:ascii="宋体" w:hAnsi="宋体" w:cs="宋体"/>
                <w:sz w:val="24"/>
                <w:szCs w:val="24"/>
              </w:rPr>
              <w:t>2</w:t>
            </w:r>
          </w:p>
        </w:tc>
        <w:tc>
          <w:tcPr>
            <w:tcW w:w="1112" w:type="dxa"/>
            <w:vAlign w:val="center"/>
          </w:tcPr>
          <w:p>
            <w:pPr>
              <w:pStyle w:val="3"/>
              <w:contextualSpacing/>
              <w:jc w:val="center"/>
              <w:rPr>
                <w:rFonts w:ascii="宋体" w:hAnsi="宋体" w:cs="宋体"/>
                <w:bCs/>
                <w:sz w:val="24"/>
                <w:szCs w:val="24"/>
              </w:rPr>
            </w:pPr>
            <w:r>
              <w:rPr>
                <w:rFonts w:hint="eastAsia" w:ascii="宋体" w:hAnsi="宋体" w:cs="宋体"/>
                <w:sz w:val="24"/>
                <w:szCs w:val="24"/>
              </w:rPr>
              <w:t>货物品牌</w:t>
            </w:r>
          </w:p>
        </w:tc>
        <w:tc>
          <w:tcPr>
            <w:tcW w:w="732" w:type="dxa"/>
            <w:vAlign w:val="center"/>
          </w:tcPr>
          <w:p>
            <w:pPr>
              <w:pStyle w:val="29"/>
              <w:spacing w:after="0" w:line="240" w:lineRule="auto"/>
              <w:ind w:leftChars="0"/>
              <w:contextualSpacing/>
              <w:rPr>
                <w:rFonts w:ascii="宋体" w:hAnsi="宋体"/>
                <w:kern w:val="2"/>
                <w:sz w:val="24"/>
                <w:szCs w:val="24"/>
              </w:rPr>
            </w:pPr>
            <w:r>
              <w:rPr>
                <w:rFonts w:hint="eastAsia" w:ascii="宋体" w:hAnsi="宋体"/>
                <w:kern w:val="2"/>
                <w:sz w:val="24"/>
                <w:szCs w:val="24"/>
                <w:lang w:val="en-US" w:eastAsia="zh-CN"/>
              </w:rPr>
              <w:t>5</w:t>
            </w:r>
            <w:r>
              <w:rPr>
                <w:rFonts w:hint="eastAsia" w:ascii="宋体" w:hAnsi="宋体"/>
                <w:kern w:val="2"/>
                <w:sz w:val="24"/>
                <w:szCs w:val="24"/>
              </w:rPr>
              <w:t>分</w:t>
            </w:r>
          </w:p>
        </w:tc>
        <w:tc>
          <w:tcPr>
            <w:tcW w:w="6433" w:type="dxa"/>
            <w:vAlign w:val="center"/>
          </w:tcPr>
          <w:p>
            <w:pPr>
              <w:jc w:val="left"/>
              <w:rPr>
                <w:rFonts w:ascii="宋体" w:hAnsi="宋体"/>
                <w:sz w:val="24"/>
                <w:szCs w:val="24"/>
              </w:rPr>
            </w:pPr>
            <w:r>
              <w:rPr>
                <w:rFonts w:hint="eastAsia" w:ascii="宋体" w:hAnsi="宋体"/>
                <w:sz w:val="24"/>
                <w:szCs w:val="24"/>
              </w:rPr>
              <w:t>综合比较供应商所投：</w:t>
            </w:r>
          </w:p>
          <w:p>
            <w:pPr>
              <w:jc w:val="left"/>
              <w:rPr>
                <w:rFonts w:ascii="宋体" w:hAnsi="宋体"/>
                <w:sz w:val="24"/>
                <w:szCs w:val="24"/>
              </w:rPr>
            </w:pPr>
            <w:r>
              <w:rPr>
                <w:rFonts w:hint="eastAsia" w:ascii="宋体" w:hAnsi="宋体"/>
                <w:sz w:val="24"/>
                <w:szCs w:val="24"/>
              </w:rPr>
              <w:t>LED显示屏的的市场知名度、品牌、档次进行排名：第一名得</w:t>
            </w:r>
            <w:r>
              <w:rPr>
                <w:rFonts w:hint="eastAsia" w:ascii="宋体" w:hAnsi="宋体"/>
                <w:sz w:val="24"/>
                <w:szCs w:val="24"/>
                <w:lang w:val="en-US" w:eastAsia="zh-CN"/>
              </w:rPr>
              <w:t>5</w:t>
            </w:r>
            <w:r>
              <w:rPr>
                <w:rFonts w:hint="eastAsia" w:ascii="宋体" w:hAnsi="宋体"/>
                <w:sz w:val="24"/>
                <w:szCs w:val="24"/>
              </w:rPr>
              <w:t>分，第二名得</w:t>
            </w:r>
            <w:r>
              <w:rPr>
                <w:rFonts w:hint="eastAsia" w:ascii="宋体" w:hAnsi="宋体"/>
                <w:sz w:val="24"/>
                <w:szCs w:val="24"/>
                <w:lang w:val="en-US" w:eastAsia="zh-CN"/>
              </w:rPr>
              <w:t>3</w:t>
            </w:r>
            <w:r>
              <w:rPr>
                <w:rFonts w:hint="eastAsia" w:ascii="宋体" w:hAnsi="宋体"/>
                <w:sz w:val="24"/>
                <w:szCs w:val="24"/>
              </w:rPr>
              <w:t>分，第三名得1，其余得0.5分。</w:t>
            </w:r>
          </w:p>
          <w:p>
            <w:pPr>
              <w:contextualSpacing/>
              <w:jc w:val="left"/>
              <w:rPr>
                <w:rFonts w:ascii="宋体" w:hAnsi="宋体"/>
                <w:sz w:val="24"/>
                <w:szCs w:val="24"/>
              </w:rPr>
            </w:pPr>
            <w:r>
              <w:rPr>
                <w:rFonts w:hint="eastAsia" w:ascii="宋体" w:hAnsi="宋体"/>
                <w:sz w:val="24"/>
                <w:szCs w:val="24"/>
              </w:rPr>
              <w:t>注：注以上排名均可并列。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02" w:hRule="atLeast"/>
          <w:jc w:val="center"/>
        </w:trPr>
        <w:tc>
          <w:tcPr>
            <w:tcW w:w="453" w:type="dxa"/>
            <w:vAlign w:val="center"/>
          </w:tcPr>
          <w:p>
            <w:pPr>
              <w:contextualSpacing/>
              <w:jc w:val="center"/>
              <w:rPr>
                <w:rFonts w:ascii="宋体" w:hAnsi="宋体" w:cs="宋体"/>
                <w:sz w:val="24"/>
                <w:szCs w:val="24"/>
              </w:rPr>
            </w:pPr>
            <w:r>
              <w:rPr>
                <w:rFonts w:hint="eastAsia" w:ascii="宋体" w:hAnsi="宋体" w:cs="宋体"/>
                <w:sz w:val="24"/>
                <w:szCs w:val="24"/>
              </w:rPr>
              <w:t>3</w:t>
            </w:r>
          </w:p>
        </w:tc>
        <w:tc>
          <w:tcPr>
            <w:tcW w:w="1112" w:type="dxa"/>
            <w:vAlign w:val="center"/>
          </w:tcPr>
          <w:p>
            <w:pPr>
              <w:pStyle w:val="3"/>
              <w:contextualSpacing/>
              <w:jc w:val="center"/>
              <w:rPr>
                <w:rFonts w:ascii="宋体" w:hAnsi="宋体" w:cs="宋体"/>
                <w:sz w:val="24"/>
                <w:szCs w:val="24"/>
              </w:rPr>
            </w:pPr>
            <w:r>
              <w:rPr>
                <w:rFonts w:hint="eastAsia" w:ascii="宋体" w:hAnsi="宋体" w:cs="宋体"/>
                <w:sz w:val="24"/>
                <w:szCs w:val="24"/>
              </w:rPr>
              <w:t>主要技术指标响应情况</w:t>
            </w:r>
          </w:p>
        </w:tc>
        <w:tc>
          <w:tcPr>
            <w:tcW w:w="732" w:type="dxa"/>
            <w:vAlign w:val="center"/>
          </w:tcPr>
          <w:p>
            <w:pPr>
              <w:pStyle w:val="29"/>
              <w:spacing w:after="0" w:line="240" w:lineRule="auto"/>
              <w:ind w:leftChars="0"/>
              <w:contextualSpacing/>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5</w:t>
            </w:r>
            <w:r>
              <w:rPr>
                <w:rFonts w:hint="eastAsia" w:ascii="宋体" w:hAnsi="宋体" w:cs="宋体"/>
                <w:sz w:val="24"/>
                <w:szCs w:val="24"/>
              </w:rPr>
              <w:t>分</w:t>
            </w:r>
          </w:p>
        </w:tc>
        <w:tc>
          <w:tcPr>
            <w:tcW w:w="6433" w:type="dxa"/>
            <w:vAlign w:val="center"/>
          </w:tcPr>
          <w:p>
            <w:pPr>
              <w:ind w:right="88" w:rightChars="42"/>
              <w:jc w:val="left"/>
              <w:rPr>
                <w:rFonts w:ascii="宋体" w:hAnsi="宋体"/>
                <w:sz w:val="24"/>
                <w:szCs w:val="24"/>
              </w:rPr>
            </w:pPr>
            <w:r>
              <w:rPr>
                <w:rFonts w:hint="eastAsia" w:ascii="宋体" w:hAnsi="宋体"/>
                <w:sz w:val="24"/>
                <w:szCs w:val="24"/>
              </w:rPr>
              <w:t>用“★”标注的主要技术参数满足招标文件要求且提供以下相关技术证明文件之一（包括第三方检验报告、产品使用说明书、厂家官网截图、产品彩页）予以证明，则加3分/项，否则该项不得分；若用“★”标注的主要技术参数有正偏离且提供以下相关技术证明文件之一（包括第三方检验报告、产品使用说明书、厂家官网截图）予以证明，则另外再加 0.5-2分/项（评审小组根据技术性能指标的正偏离情况酌情打分），本项满分为29分。</w:t>
            </w:r>
          </w:p>
          <w:p>
            <w:pPr>
              <w:contextualSpacing/>
              <w:jc w:val="left"/>
              <w:rPr>
                <w:rFonts w:ascii="宋体" w:hAnsi="宋体" w:cs="宋体"/>
                <w:color w:val="FF0000"/>
                <w:sz w:val="24"/>
                <w:szCs w:val="24"/>
              </w:rPr>
            </w:pPr>
            <w:r>
              <w:rPr>
                <w:rFonts w:hint="eastAsia" w:ascii="宋体" w:hAnsi="宋体"/>
                <w:color w:val="FF0000"/>
                <w:sz w:val="24"/>
                <w:szCs w:val="24"/>
              </w:rPr>
              <w:t>注：供应商投标响应文件中提供的相关技术证明文件（第三方检验报告、产品使用说明书、厂家官网截图、产品彩页）中关于同一技术参数的表述不一致时，相关技术证明文件的效力由高到低顺序依次为第三方检验报告、产品使用说明书、厂家官网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238" w:hRule="atLeast"/>
          <w:jc w:val="center"/>
        </w:trPr>
        <w:tc>
          <w:tcPr>
            <w:tcW w:w="453" w:type="dxa"/>
            <w:vAlign w:val="center"/>
          </w:tcPr>
          <w:p>
            <w:pPr>
              <w:contextualSpacing/>
              <w:jc w:val="center"/>
              <w:rPr>
                <w:rFonts w:ascii="宋体" w:hAnsi="宋体" w:cs="宋体"/>
                <w:sz w:val="24"/>
                <w:szCs w:val="24"/>
              </w:rPr>
            </w:pPr>
            <w:r>
              <w:rPr>
                <w:rFonts w:hint="eastAsia" w:ascii="宋体" w:hAnsi="宋体" w:cs="宋体"/>
                <w:sz w:val="24"/>
                <w:szCs w:val="24"/>
              </w:rPr>
              <w:t>4</w:t>
            </w:r>
          </w:p>
        </w:tc>
        <w:tc>
          <w:tcPr>
            <w:tcW w:w="1112" w:type="dxa"/>
            <w:vAlign w:val="center"/>
          </w:tcPr>
          <w:p>
            <w:pPr>
              <w:pStyle w:val="3"/>
              <w:contextualSpacing/>
              <w:jc w:val="center"/>
              <w:rPr>
                <w:rFonts w:ascii="宋体" w:hAnsi="宋体" w:cs="宋体"/>
                <w:sz w:val="24"/>
                <w:szCs w:val="24"/>
              </w:rPr>
            </w:pPr>
            <w:r>
              <w:rPr>
                <w:rFonts w:hint="eastAsia" w:ascii="宋体" w:hAnsi="宋体" w:cs="宋体"/>
                <w:sz w:val="24"/>
                <w:szCs w:val="24"/>
              </w:rPr>
              <w:t>非主要技术指标响应情况</w:t>
            </w:r>
          </w:p>
        </w:tc>
        <w:tc>
          <w:tcPr>
            <w:tcW w:w="732" w:type="dxa"/>
            <w:vAlign w:val="center"/>
          </w:tcPr>
          <w:p>
            <w:pPr>
              <w:pStyle w:val="29"/>
              <w:spacing w:after="0" w:line="240" w:lineRule="auto"/>
              <w:ind w:leftChars="0"/>
              <w:contextualSpacing/>
              <w:rPr>
                <w:rFonts w:ascii="宋体" w:hAnsi="宋体" w:cs="宋体"/>
                <w:sz w:val="24"/>
                <w:szCs w:val="24"/>
              </w:rPr>
            </w:pPr>
            <w:r>
              <w:rPr>
                <w:rFonts w:hint="eastAsia" w:ascii="宋体" w:hAnsi="宋体" w:cs="宋体"/>
                <w:sz w:val="24"/>
                <w:szCs w:val="24"/>
                <w:lang w:val="en-US" w:eastAsia="zh-CN"/>
              </w:rPr>
              <w:t>10</w:t>
            </w:r>
            <w:r>
              <w:rPr>
                <w:rFonts w:hint="eastAsia" w:ascii="宋体" w:hAnsi="宋体" w:cs="宋体"/>
                <w:sz w:val="24"/>
                <w:szCs w:val="24"/>
              </w:rPr>
              <w:t>分</w:t>
            </w:r>
          </w:p>
        </w:tc>
        <w:tc>
          <w:tcPr>
            <w:tcW w:w="6433" w:type="dxa"/>
            <w:vAlign w:val="center"/>
          </w:tcPr>
          <w:p>
            <w:pPr>
              <w:pStyle w:val="3"/>
              <w:rPr>
                <w:rFonts w:ascii="宋体" w:hAnsi="宋体"/>
                <w:sz w:val="24"/>
                <w:szCs w:val="24"/>
              </w:rPr>
            </w:pPr>
            <w:r>
              <w:rPr>
                <w:rFonts w:hint="eastAsia" w:ascii="宋体" w:hAnsi="宋体"/>
                <w:sz w:val="24"/>
                <w:szCs w:val="24"/>
              </w:rPr>
              <w:t>未用“★”标注的非主要技术参数的基准分为</w:t>
            </w:r>
            <w:r>
              <w:rPr>
                <w:rFonts w:hint="eastAsia" w:ascii="宋体" w:hAnsi="宋体"/>
                <w:sz w:val="24"/>
                <w:szCs w:val="24"/>
                <w:lang w:val="en-US" w:eastAsia="zh-CN"/>
              </w:rPr>
              <w:t>10</w:t>
            </w:r>
            <w:r>
              <w:rPr>
                <w:rFonts w:hint="eastAsia" w:ascii="宋体" w:hAnsi="宋体"/>
                <w:sz w:val="24"/>
                <w:szCs w:val="24"/>
              </w:rPr>
              <w:t>分，全部满足得基准分</w:t>
            </w:r>
            <w:r>
              <w:rPr>
                <w:rFonts w:hint="eastAsia" w:ascii="宋体" w:hAnsi="宋体"/>
                <w:sz w:val="24"/>
                <w:szCs w:val="24"/>
                <w:lang w:val="en-US" w:eastAsia="zh-CN"/>
              </w:rPr>
              <w:t>10</w:t>
            </w:r>
            <w:r>
              <w:rPr>
                <w:rFonts w:hint="eastAsia" w:ascii="宋体" w:hAnsi="宋体"/>
                <w:sz w:val="24"/>
                <w:szCs w:val="24"/>
              </w:rPr>
              <w:t>分。未用“★”标注的非主要技术参数若有负偏离，则在基准分基础上扣 0.5 -2分/项（评审小组根据技术性能指标的负偏离情况酌情打分），扣完为止。</w:t>
            </w:r>
          </w:p>
          <w:p>
            <w:pPr>
              <w:contextualSpacing/>
              <w:jc w:val="left"/>
              <w:rPr>
                <w:rFonts w:ascii="宋体" w:hAnsi="宋体" w:cs="宋体"/>
                <w:color w:val="FF0000"/>
                <w:sz w:val="24"/>
                <w:szCs w:val="24"/>
              </w:rPr>
            </w:pPr>
            <w:r>
              <w:rPr>
                <w:rFonts w:hint="eastAsia" w:ascii="宋体" w:hAnsi="宋体"/>
                <w:color w:val="FF0000"/>
                <w:sz w:val="24"/>
                <w:szCs w:val="24"/>
              </w:rPr>
              <w:t>注：供应商对未用“★”标注的非主要技术参数出现重大负偏离影响设备性能的，经半数以上评标委员会成员认定，本项得0分。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453" w:type="dxa"/>
            <w:vAlign w:val="center"/>
          </w:tcPr>
          <w:p>
            <w:pPr>
              <w:contextualSpacing/>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1112" w:type="dxa"/>
            <w:vAlign w:val="center"/>
          </w:tcPr>
          <w:p>
            <w:pPr>
              <w:pStyle w:val="3"/>
              <w:contextualSpacing/>
              <w:jc w:val="center"/>
              <w:rPr>
                <w:rFonts w:ascii="宋体" w:hAnsi="宋体" w:cs="宋体"/>
                <w:sz w:val="24"/>
                <w:szCs w:val="24"/>
              </w:rPr>
            </w:pPr>
            <w:r>
              <w:rPr>
                <w:rFonts w:hint="eastAsia" w:ascii="宋体" w:hAnsi="宋体"/>
                <w:sz w:val="24"/>
                <w:szCs w:val="24"/>
              </w:rPr>
              <w:t>实施方案</w:t>
            </w:r>
          </w:p>
        </w:tc>
        <w:tc>
          <w:tcPr>
            <w:tcW w:w="732" w:type="dxa"/>
            <w:vAlign w:val="center"/>
          </w:tcPr>
          <w:p>
            <w:pPr>
              <w:pStyle w:val="3"/>
              <w:contextualSpacing/>
              <w:jc w:val="center"/>
              <w:rPr>
                <w:rFonts w:ascii="宋体" w:hAnsi="宋体" w:cs="宋体"/>
                <w:b/>
                <w:sz w:val="24"/>
                <w:szCs w:val="24"/>
              </w:rPr>
            </w:pPr>
            <w:r>
              <w:rPr>
                <w:rFonts w:hint="eastAsia" w:ascii="宋体" w:hAnsi="宋体" w:cs="宋体"/>
                <w:sz w:val="24"/>
                <w:szCs w:val="24"/>
              </w:rPr>
              <w:t>6分</w:t>
            </w:r>
          </w:p>
        </w:tc>
        <w:tc>
          <w:tcPr>
            <w:tcW w:w="6433" w:type="dxa"/>
            <w:vAlign w:val="top"/>
          </w:tcPr>
          <w:p>
            <w:pPr>
              <w:jc w:val="left"/>
              <w:rPr>
                <w:rFonts w:ascii="宋体" w:hAnsi="宋体"/>
                <w:sz w:val="24"/>
                <w:szCs w:val="24"/>
              </w:rPr>
            </w:pPr>
            <w:r>
              <w:rPr>
                <w:rFonts w:hint="eastAsia" w:ascii="宋体" w:hAnsi="宋体"/>
                <w:sz w:val="24"/>
                <w:szCs w:val="24"/>
              </w:rPr>
              <w:t>1、综合比较供应商针对本项目的具体实施方案和</w:t>
            </w:r>
            <w:r>
              <w:rPr>
                <w:rFonts w:hint="eastAsia" w:cs="宋体"/>
                <w:color w:val="000000"/>
                <w:sz w:val="24"/>
                <w:szCs w:val="24"/>
              </w:rPr>
              <w:t>项目实施的进度计划及流程</w:t>
            </w:r>
            <w:r>
              <w:rPr>
                <w:rFonts w:hint="eastAsia" w:ascii="宋体" w:hAnsi="宋体"/>
                <w:sz w:val="24"/>
                <w:szCs w:val="24"/>
              </w:rPr>
              <w:t xml:space="preserve">进行排名:第一名得3分，第二名得2分，第三名得1分，其他得0.5分，未提供不得分。 </w:t>
            </w:r>
          </w:p>
          <w:p>
            <w:pPr>
              <w:jc w:val="left"/>
              <w:rPr>
                <w:rFonts w:ascii="宋体" w:hAnsi="宋体"/>
                <w:sz w:val="24"/>
                <w:szCs w:val="24"/>
              </w:rPr>
            </w:pPr>
            <w:r>
              <w:rPr>
                <w:rFonts w:hint="eastAsia" w:ascii="宋体" w:hAnsi="宋体"/>
                <w:sz w:val="24"/>
                <w:szCs w:val="24"/>
              </w:rPr>
              <w:t>2、综合比较供应商针对本项目的</w:t>
            </w:r>
            <w:r>
              <w:rPr>
                <w:rFonts w:hint="eastAsia" w:cs="宋体"/>
                <w:color w:val="000000"/>
                <w:sz w:val="24"/>
                <w:szCs w:val="24"/>
              </w:rPr>
              <w:t>项目实施、运维的重难点分析及质量保证措施、与采购人配合计划</w:t>
            </w:r>
            <w:r>
              <w:rPr>
                <w:rFonts w:hint="eastAsia" w:ascii="宋体" w:hAnsi="宋体"/>
                <w:sz w:val="24"/>
                <w:szCs w:val="24"/>
              </w:rPr>
              <w:t>排名：第一名得3分，第二名得2分，第三名得1分，其他得0.5分，未提供不得分。</w:t>
            </w:r>
          </w:p>
          <w:p>
            <w:pPr>
              <w:pStyle w:val="11"/>
              <w:contextualSpacing/>
              <w:jc w:val="both"/>
              <w:rPr>
                <w:rFonts w:ascii="宋体" w:hAnsi="宋体" w:cs="宋体"/>
                <w:color w:val="FF0000"/>
              </w:rPr>
            </w:pPr>
            <w:r>
              <w:rPr>
                <w:rFonts w:hint="eastAsia" w:ascii="宋体" w:hAnsi="宋体"/>
                <w:color w:val="FF0000"/>
              </w:rPr>
              <w:t>注：以上排名均可并列。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453" w:type="dxa"/>
            <w:vAlign w:val="center"/>
          </w:tcPr>
          <w:p>
            <w:pPr>
              <w:contextualSpacing/>
              <w:jc w:val="center"/>
              <w:rPr>
                <w:rFonts w:hint="eastAsia" w:ascii="宋体" w:hAnsi="宋体" w:eastAsia="宋体" w:cs="宋体"/>
                <w:sz w:val="24"/>
                <w:szCs w:val="24"/>
                <w:lang w:eastAsia="zh-CN"/>
              </w:rPr>
            </w:pPr>
            <w:r>
              <w:rPr>
                <w:rFonts w:hint="eastAsia" w:ascii="宋体" w:hAnsi="宋体" w:cs="宋体"/>
                <w:sz w:val="24"/>
                <w:szCs w:val="24"/>
                <w:lang w:val="en-US" w:eastAsia="zh-CN"/>
              </w:rPr>
              <w:t>6</w:t>
            </w:r>
          </w:p>
        </w:tc>
        <w:tc>
          <w:tcPr>
            <w:tcW w:w="1112" w:type="dxa"/>
            <w:vAlign w:val="center"/>
          </w:tcPr>
          <w:p>
            <w:pPr>
              <w:contextualSpacing/>
              <w:jc w:val="center"/>
              <w:rPr>
                <w:rFonts w:ascii="宋体" w:hAnsi="宋体" w:cs="宋体"/>
                <w:sz w:val="24"/>
                <w:szCs w:val="24"/>
              </w:rPr>
            </w:pPr>
            <w:r>
              <w:rPr>
                <w:rFonts w:hint="eastAsia" w:ascii="宋体" w:hAnsi="宋体" w:cs="宋体"/>
                <w:sz w:val="24"/>
                <w:szCs w:val="24"/>
              </w:rPr>
              <w:t>人员力量</w:t>
            </w:r>
          </w:p>
        </w:tc>
        <w:tc>
          <w:tcPr>
            <w:tcW w:w="732" w:type="dxa"/>
            <w:vAlign w:val="center"/>
          </w:tcPr>
          <w:p>
            <w:pPr>
              <w:pStyle w:val="11"/>
              <w:contextualSpacing/>
              <w:jc w:val="center"/>
              <w:rPr>
                <w:rFonts w:ascii="宋体" w:hAnsi="宋体" w:cs="宋体"/>
              </w:rPr>
            </w:pPr>
            <w:r>
              <w:rPr>
                <w:rFonts w:hint="eastAsia" w:ascii="宋体" w:hAnsi="宋体" w:cs="宋体"/>
              </w:rPr>
              <w:t>2分</w:t>
            </w:r>
          </w:p>
        </w:tc>
        <w:tc>
          <w:tcPr>
            <w:tcW w:w="6433" w:type="dxa"/>
            <w:vAlign w:val="center"/>
          </w:tcPr>
          <w:p>
            <w:pPr>
              <w:pStyle w:val="10"/>
              <w:spacing w:after="0" w:line="240" w:lineRule="atLeast"/>
              <w:ind w:left="0" w:leftChars="0"/>
              <w:rPr>
                <w:rFonts w:ascii="宋体" w:hAnsi="宋体"/>
                <w:sz w:val="24"/>
                <w:szCs w:val="24"/>
              </w:rPr>
            </w:pPr>
            <w:r>
              <w:rPr>
                <w:rFonts w:hint="eastAsia" w:ascii="宋体" w:hAnsi="宋体"/>
                <w:sz w:val="24"/>
                <w:szCs w:val="24"/>
              </w:rPr>
              <w:t>综合比较供应商针对本项目拟配备的人员力量：</w:t>
            </w:r>
          </w:p>
          <w:p>
            <w:pPr>
              <w:jc w:val="left"/>
              <w:rPr>
                <w:rFonts w:ascii="宋体" w:hAnsi="宋体"/>
                <w:sz w:val="24"/>
                <w:szCs w:val="24"/>
              </w:rPr>
            </w:pPr>
            <w:r>
              <w:rPr>
                <w:rFonts w:hint="eastAsia" w:ascii="宋体" w:hAnsi="宋体"/>
                <w:sz w:val="24"/>
                <w:szCs w:val="24"/>
              </w:rPr>
              <w:t>项目组成员中每有1名人员具有</w:t>
            </w:r>
            <w:r>
              <w:rPr>
                <w:rFonts w:hint="eastAsia" w:ascii="宋体" w:hAnsi="宋体"/>
                <w:b/>
                <w:bCs/>
                <w:sz w:val="24"/>
                <w:szCs w:val="24"/>
              </w:rPr>
              <w:t>计算机类或电气类专业级职称</w:t>
            </w:r>
            <w:r>
              <w:rPr>
                <w:rFonts w:hint="eastAsia" w:ascii="宋体" w:hAnsi="宋体"/>
                <w:sz w:val="24"/>
                <w:szCs w:val="24"/>
              </w:rPr>
              <w:t>证书的，得1分，最多得2分。</w:t>
            </w:r>
          </w:p>
          <w:p>
            <w:pPr>
              <w:pStyle w:val="3"/>
              <w:rPr>
                <w:rFonts w:ascii="宋体" w:hAnsi="宋体"/>
                <w:color w:val="FF0000"/>
                <w:sz w:val="24"/>
                <w:szCs w:val="24"/>
              </w:rPr>
            </w:pPr>
            <w:r>
              <w:rPr>
                <w:rFonts w:hint="eastAsia" w:ascii="宋体" w:hAnsi="宋体"/>
                <w:color w:val="FF0000"/>
                <w:sz w:val="24"/>
                <w:szCs w:val="24"/>
              </w:rPr>
              <w:t>注：①响应文件中须提供人社部门出具的供应商（2019 年 1月&lt;含&gt;以来任意一个月） 为其缴纳社保的证明材料，如为事业单位，可以提供由人力资源与社会保障部门出具的人事关系在供应商单位的证明材料，否则评审小组不予计分。</w:t>
            </w:r>
            <w:r>
              <w:rPr>
                <w:rFonts w:hint="eastAsia" w:ascii="宋体" w:hAnsi="宋体"/>
                <w:color w:val="FF0000"/>
                <w:sz w:val="24"/>
                <w:szCs w:val="24"/>
              </w:rPr>
              <w:br/>
            </w:r>
            <w:r>
              <w:rPr>
                <w:rFonts w:hint="eastAsia" w:ascii="宋体" w:hAnsi="宋体"/>
                <w:color w:val="FF0000"/>
                <w:sz w:val="24"/>
                <w:szCs w:val="24"/>
              </w:rPr>
              <w:t>②响应文件中须提供有证书复印件且符合以上要求，否则评审小组不予计分。</w:t>
            </w:r>
          </w:p>
          <w:p>
            <w:pPr>
              <w:pStyle w:val="11"/>
              <w:contextualSpacing/>
              <w:jc w:val="both"/>
              <w:rPr>
                <w:rFonts w:ascii="宋体" w:hAnsi="宋体" w:cs="宋体"/>
                <w:color w:val="FF0000"/>
              </w:rPr>
            </w:pPr>
            <w:r>
              <w:rPr>
                <w:rFonts w:hint="eastAsia" w:ascii="宋体" w:hAnsi="宋体"/>
                <w:color w:val="FF0000"/>
                <w:kern w:val="2"/>
              </w:rPr>
              <w:t>③同一人员不重复计分。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453" w:type="dxa"/>
            <w:vAlign w:val="center"/>
          </w:tcPr>
          <w:p>
            <w:pPr>
              <w:contextualSpacing/>
              <w:jc w:val="center"/>
              <w:rPr>
                <w:rFonts w:hint="eastAsia" w:ascii="宋体" w:hAnsi="宋体" w:eastAsia="宋体" w:cs="宋体"/>
                <w:sz w:val="24"/>
                <w:szCs w:val="24"/>
                <w:lang w:eastAsia="zh-CN"/>
              </w:rPr>
            </w:pPr>
            <w:r>
              <w:rPr>
                <w:rFonts w:hint="eastAsia" w:ascii="宋体" w:hAnsi="宋体" w:cs="宋体"/>
                <w:sz w:val="24"/>
                <w:szCs w:val="24"/>
                <w:lang w:val="en-US" w:eastAsia="zh-CN"/>
              </w:rPr>
              <w:t>7</w:t>
            </w:r>
          </w:p>
        </w:tc>
        <w:tc>
          <w:tcPr>
            <w:tcW w:w="1112" w:type="dxa"/>
            <w:vAlign w:val="center"/>
          </w:tcPr>
          <w:p>
            <w:pPr>
              <w:pStyle w:val="3"/>
              <w:contextualSpacing/>
              <w:jc w:val="center"/>
              <w:rPr>
                <w:rFonts w:ascii="宋体" w:hAnsi="宋体" w:cs="宋体"/>
                <w:b/>
                <w:sz w:val="24"/>
                <w:szCs w:val="24"/>
              </w:rPr>
            </w:pPr>
            <w:r>
              <w:rPr>
                <w:rFonts w:hint="eastAsia" w:ascii="宋体" w:hAnsi="宋体" w:cs="宋体"/>
                <w:sz w:val="24"/>
                <w:szCs w:val="24"/>
              </w:rPr>
              <w:t>质保及售后服务</w:t>
            </w:r>
          </w:p>
        </w:tc>
        <w:tc>
          <w:tcPr>
            <w:tcW w:w="732" w:type="dxa"/>
            <w:vAlign w:val="center"/>
          </w:tcPr>
          <w:p>
            <w:pPr>
              <w:pStyle w:val="3"/>
              <w:contextualSpacing/>
              <w:jc w:val="center"/>
              <w:rPr>
                <w:rFonts w:ascii="宋体" w:hAnsi="宋体" w:cs="宋体"/>
                <w:b/>
                <w:sz w:val="32"/>
              </w:rPr>
            </w:pPr>
            <w:r>
              <w:rPr>
                <w:rFonts w:hint="eastAsia" w:ascii="宋体" w:hAnsi="宋体" w:cs="宋体"/>
                <w:sz w:val="24"/>
                <w:szCs w:val="24"/>
                <w:lang w:val="en-US" w:eastAsia="zh-CN"/>
              </w:rPr>
              <w:t>5</w:t>
            </w:r>
            <w:r>
              <w:rPr>
                <w:rFonts w:hint="eastAsia" w:ascii="宋体" w:hAnsi="宋体" w:cs="宋体"/>
                <w:sz w:val="24"/>
                <w:szCs w:val="24"/>
              </w:rPr>
              <w:t>分</w:t>
            </w:r>
          </w:p>
        </w:tc>
        <w:tc>
          <w:tcPr>
            <w:tcW w:w="6433" w:type="dxa"/>
            <w:vAlign w:val="top"/>
          </w:tcPr>
          <w:p>
            <w:pPr>
              <w:pStyle w:val="11"/>
              <w:ind w:right="94" w:rightChars="45"/>
              <w:contextualSpacing/>
              <w:jc w:val="both"/>
              <w:rPr>
                <w:rFonts w:ascii="宋体" w:hAnsi="宋体" w:cs="宋体"/>
              </w:rPr>
            </w:pPr>
            <w:r>
              <w:rPr>
                <w:rFonts w:hint="eastAsia" w:ascii="宋体" w:hAnsi="宋体" w:cs="宋体"/>
              </w:rPr>
              <w:t>1、免费质保期：所投产品在满足原厂免费质保期3年的基础上每多提供1年原厂免费质保期加1分，最多得2分,未提供不得分。</w:t>
            </w:r>
          </w:p>
          <w:p>
            <w:pPr>
              <w:pStyle w:val="11"/>
              <w:contextualSpacing/>
              <w:jc w:val="both"/>
              <w:rPr>
                <w:rFonts w:ascii="宋体" w:hAnsi="宋体" w:cs="宋体"/>
                <w:color w:val="FF0000"/>
              </w:rPr>
            </w:pPr>
            <w:r>
              <w:rPr>
                <w:rFonts w:hint="eastAsia" w:ascii="宋体" w:hAnsi="宋体" w:cs="宋体"/>
                <w:color w:val="FF0000"/>
              </w:rPr>
              <w:t>注：</w:t>
            </w:r>
          </w:p>
          <w:p>
            <w:pPr>
              <w:pStyle w:val="11"/>
              <w:contextualSpacing/>
              <w:jc w:val="both"/>
              <w:rPr>
                <w:rFonts w:ascii="宋体" w:hAnsi="宋体" w:cs="宋体"/>
                <w:color w:val="FF0000"/>
              </w:rPr>
            </w:pPr>
            <w:r>
              <w:rPr>
                <w:rFonts w:hint="eastAsia" w:ascii="宋体" w:hAnsi="宋体" w:cs="宋体"/>
                <w:color w:val="FF0000"/>
              </w:rPr>
              <w:t>（1）不足一整年的部分按0年计算；</w:t>
            </w:r>
          </w:p>
          <w:p>
            <w:pPr>
              <w:pStyle w:val="11"/>
              <w:contextualSpacing/>
              <w:jc w:val="both"/>
              <w:rPr>
                <w:rFonts w:ascii="宋体" w:hAnsi="宋体" w:cs="宋体"/>
                <w:color w:val="FF0000"/>
              </w:rPr>
            </w:pPr>
            <w:r>
              <w:rPr>
                <w:rFonts w:hint="eastAsia" w:ascii="宋体" w:hAnsi="宋体" w:cs="宋体"/>
                <w:color w:val="FF0000"/>
              </w:rPr>
              <w:t>（2）原厂免费质保期以设备制造商出具的“原厂免费质保承诺书”为评分依据（格式详见投标文件），若“技术标开标一览表”中“免费质保期”与“原厂免费质保承诺书”中“免费质保服务”不一致时，中标人必须以较长的免费质保期提供服务。</w:t>
            </w:r>
          </w:p>
          <w:p>
            <w:pPr>
              <w:pStyle w:val="11"/>
              <w:contextualSpacing/>
              <w:jc w:val="both"/>
              <w:rPr>
                <w:rFonts w:ascii="宋体" w:hAnsi="宋体" w:cs="宋体"/>
                <w:color w:val="000000"/>
              </w:rPr>
            </w:pPr>
            <w:r>
              <w:rPr>
                <w:rFonts w:hint="eastAsia" w:ascii="宋体" w:hAnsi="宋体" w:cs="宋体"/>
              </w:rPr>
              <w:t>2、售后服务能力：根据所投产品的原厂制造商设立的各服务、维修网点的售后服务能力；售后服务承诺：根据投标人在免费质保期内的售后服务承诺（故障响应时间、回访巡检方案、故障解决方案等）进行排名：</w:t>
            </w:r>
            <w:r>
              <w:rPr>
                <w:rFonts w:hint="eastAsia" w:ascii="宋体" w:hAnsi="宋体" w:cs="宋体"/>
                <w:color w:val="000000"/>
              </w:rPr>
              <w:t>第一名得3分，第二名得2分，第三名得1分，其余得0.5分，未提供不得分</w:t>
            </w:r>
            <w:r>
              <w:rPr>
                <w:rFonts w:hint="eastAsia" w:ascii="宋体" w:hAnsi="宋体" w:cs="宋体"/>
              </w:rPr>
              <w:t>。</w:t>
            </w:r>
          </w:p>
          <w:p>
            <w:pPr>
              <w:pStyle w:val="11"/>
              <w:contextualSpacing/>
              <w:jc w:val="both"/>
              <w:rPr>
                <w:rFonts w:ascii="宋体" w:hAnsi="宋体" w:cs="宋体"/>
              </w:rPr>
            </w:pPr>
            <w:r>
              <w:rPr>
                <w:rFonts w:hint="eastAsia" w:ascii="宋体" w:hAnsi="宋体" w:cs="宋体"/>
                <w:color w:val="FF0000"/>
              </w:rPr>
              <w:t>注：1.售后服务能力以设备制造商出具的“所投设备的原厂制造商设立的服务、维修网点一览表”为评分依据（格式详见投标文件）。</w:t>
            </w:r>
          </w:p>
          <w:p>
            <w:pPr>
              <w:pStyle w:val="11"/>
              <w:contextualSpacing/>
              <w:jc w:val="both"/>
              <w:rPr>
                <w:rFonts w:ascii="宋体" w:hAnsi="宋体" w:cs="宋体"/>
                <w:color w:val="FF0000"/>
              </w:rPr>
            </w:pPr>
            <w:r>
              <w:rPr>
                <w:rFonts w:hint="eastAsia" w:ascii="宋体" w:hAnsi="宋体" w:cs="宋体"/>
                <w:color w:val="FF0000"/>
              </w:rPr>
              <w:t>2.以上排名均可并列。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453" w:type="dxa"/>
            <w:vAlign w:val="center"/>
          </w:tcPr>
          <w:p>
            <w:pPr>
              <w:contextualSpacing/>
              <w:jc w:val="center"/>
              <w:rPr>
                <w:rFonts w:hint="eastAsia" w:ascii="宋体" w:hAnsi="宋体" w:eastAsia="宋体" w:cs="宋体"/>
                <w:sz w:val="24"/>
                <w:szCs w:val="24"/>
                <w:lang w:eastAsia="zh-CN"/>
              </w:rPr>
            </w:pPr>
            <w:r>
              <w:rPr>
                <w:rFonts w:hint="eastAsia" w:ascii="宋体" w:hAnsi="宋体" w:cs="宋体"/>
                <w:sz w:val="24"/>
                <w:szCs w:val="24"/>
                <w:lang w:val="en-US" w:eastAsia="zh-CN"/>
              </w:rPr>
              <w:t>8</w:t>
            </w:r>
          </w:p>
        </w:tc>
        <w:tc>
          <w:tcPr>
            <w:tcW w:w="1112" w:type="dxa"/>
            <w:vAlign w:val="center"/>
          </w:tcPr>
          <w:p>
            <w:pPr>
              <w:pStyle w:val="3"/>
              <w:contextualSpacing/>
              <w:jc w:val="center"/>
              <w:rPr>
                <w:rFonts w:ascii="宋体" w:hAnsi="宋体" w:cs="宋体"/>
                <w:sz w:val="24"/>
                <w:szCs w:val="24"/>
              </w:rPr>
            </w:pPr>
            <w:r>
              <w:rPr>
                <w:rFonts w:hint="eastAsia" w:ascii="宋体" w:hAnsi="宋体" w:cs="宋体"/>
                <w:bCs/>
                <w:sz w:val="24"/>
                <w:szCs w:val="24"/>
              </w:rPr>
              <w:t>项目业绩</w:t>
            </w:r>
          </w:p>
        </w:tc>
        <w:tc>
          <w:tcPr>
            <w:tcW w:w="732" w:type="dxa"/>
            <w:vAlign w:val="center"/>
          </w:tcPr>
          <w:p>
            <w:pPr>
              <w:contextualSpacing/>
              <w:jc w:val="center"/>
              <w:rPr>
                <w:rFonts w:ascii="宋体" w:hAnsi="宋体" w:cs="宋体"/>
                <w:sz w:val="24"/>
                <w:szCs w:val="24"/>
              </w:rPr>
            </w:pPr>
            <w:r>
              <w:rPr>
                <w:rFonts w:hint="eastAsia" w:ascii="宋体" w:hAnsi="宋体" w:cs="宋体"/>
                <w:sz w:val="24"/>
                <w:szCs w:val="24"/>
                <w:lang w:val="en-US" w:eastAsia="zh-CN"/>
              </w:rPr>
              <w:t>7</w:t>
            </w:r>
            <w:r>
              <w:rPr>
                <w:rFonts w:hint="eastAsia" w:ascii="宋体" w:hAnsi="宋体" w:cs="宋体"/>
                <w:sz w:val="24"/>
                <w:szCs w:val="24"/>
              </w:rPr>
              <w:t>分</w:t>
            </w:r>
          </w:p>
        </w:tc>
        <w:tc>
          <w:tcPr>
            <w:tcW w:w="6433" w:type="dxa"/>
            <w:vAlign w:val="top"/>
          </w:tcPr>
          <w:p>
            <w:pPr>
              <w:jc w:val="left"/>
              <w:rPr>
                <w:rFonts w:ascii="宋体" w:hAnsi="宋体"/>
                <w:sz w:val="24"/>
                <w:szCs w:val="24"/>
              </w:rPr>
            </w:pPr>
            <w:r>
              <w:rPr>
                <w:rFonts w:hint="eastAsia" w:ascii="宋体" w:hAnsi="宋体"/>
                <w:sz w:val="24"/>
                <w:szCs w:val="24"/>
              </w:rPr>
              <w:t xml:space="preserve"> 2019 年 1 月 1 日(含)以来（以合同签订时间为准，无合同签订时间评审小组不予计分），供应商具有此项项目的业绩，每提供 1 份业绩得</w:t>
            </w:r>
            <w:r>
              <w:rPr>
                <w:rFonts w:hint="eastAsia" w:ascii="宋体" w:hAnsi="宋体"/>
                <w:sz w:val="24"/>
                <w:szCs w:val="24"/>
                <w:lang w:val="en-US" w:eastAsia="zh-CN"/>
              </w:rPr>
              <w:t>1</w:t>
            </w:r>
            <w:r>
              <w:rPr>
                <w:rFonts w:hint="eastAsia" w:ascii="宋体" w:hAnsi="宋体"/>
                <w:sz w:val="24"/>
                <w:szCs w:val="24"/>
              </w:rPr>
              <w:t>分，最多得</w:t>
            </w:r>
            <w:r>
              <w:rPr>
                <w:rFonts w:hint="eastAsia" w:ascii="宋体" w:hAnsi="宋体"/>
                <w:sz w:val="24"/>
                <w:szCs w:val="24"/>
                <w:lang w:val="en-US" w:eastAsia="zh-CN"/>
              </w:rPr>
              <w:t>7</w:t>
            </w:r>
            <w:r>
              <w:rPr>
                <w:rFonts w:hint="eastAsia" w:ascii="宋体" w:hAnsi="宋体"/>
                <w:sz w:val="24"/>
                <w:szCs w:val="24"/>
              </w:rPr>
              <w:t>分。</w:t>
            </w:r>
          </w:p>
          <w:p>
            <w:pPr>
              <w:jc w:val="left"/>
              <w:rPr>
                <w:rFonts w:ascii="宋体" w:hAnsi="宋体"/>
                <w:color w:val="FF0000"/>
                <w:sz w:val="24"/>
                <w:szCs w:val="24"/>
              </w:rPr>
            </w:pPr>
            <w:r>
              <w:rPr>
                <w:rFonts w:hint="eastAsia" w:ascii="宋体" w:hAnsi="宋体"/>
                <w:color w:val="FF0000"/>
                <w:sz w:val="24"/>
                <w:szCs w:val="24"/>
              </w:rPr>
              <w:t>注：①投标响应文件中须同时提供合同复印件及合同甲方出具的验收合格证明（或合同甲方出具的货物使用质量良好&lt;或满意&gt;及以上评价证明）复印件，验收合格证明或货物使用质量良好（或满意）及以上评价证明须含合同甲方公章（公章名称与合同甲方名称一致），且满足以上要求，否则评审小组不予计分。</w:t>
            </w:r>
          </w:p>
          <w:p>
            <w:pPr>
              <w:pStyle w:val="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宋体" w:hAnsi="宋体" w:cs="宋体"/>
                <w:b/>
                <w:sz w:val="24"/>
                <w:szCs w:val="24"/>
              </w:rPr>
            </w:pPr>
            <w:r>
              <w:rPr>
                <w:rFonts w:hint="eastAsia" w:ascii="宋体" w:hAnsi="宋体"/>
                <w:color w:val="FF0000"/>
                <w:sz w:val="24"/>
                <w:szCs w:val="24"/>
              </w:rPr>
              <w:t>②合同内容必须能清楚地反映合同首页、合同标的和盖章页等内容，若合同中未清楚地反映，须出具合同甲方提供的相关证明材料复印件（相关证明材料的出具单位公章名称必须与合同甲方名称一致），且满足以上要求，否则评审小组不予计分，</w:t>
            </w:r>
            <w:r>
              <w:rPr>
                <w:rFonts w:hint="eastAsia" w:ascii="宋体" w:hAnsi="宋体"/>
                <w:color w:val="FF0000"/>
                <w:sz w:val="24"/>
              </w:rPr>
              <w:t>相关证明材料格式自拟</w:t>
            </w:r>
            <w:r>
              <w:rPr>
                <w:rFonts w:hint="eastAsia" w:ascii="宋体" w:hAnsi="宋体"/>
                <w:color w:val="FF0000"/>
                <w:sz w:val="24"/>
                <w:szCs w:val="24"/>
              </w:rPr>
              <w:t>。</w:t>
            </w:r>
          </w:p>
        </w:tc>
      </w:tr>
    </w:tbl>
    <w:p>
      <w:pPr>
        <w:rPr>
          <w:rStyle w:val="30"/>
          <w:rFonts w:hint="eastAsia" w:eastAsia="宋体"/>
          <w:lang w:eastAsia="zh-CN"/>
        </w:rPr>
      </w:pPr>
    </w:p>
    <w:p>
      <w:pPr>
        <w:pStyle w:val="2"/>
        <w:rPr>
          <w:rStyle w:val="30"/>
          <w:rFonts w:hint="eastAsia" w:eastAsia="宋体"/>
          <w:lang w:eastAsia="zh-CN"/>
        </w:rPr>
      </w:pPr>
    </w:p>
    <w:p>
      <w:pPr>
        <w:pStyle w:val="2"/>
        <w:rPr>
          <w:rStyle w:val="30"/>
          <w:rFonts w:hint="eastAsia" w:eastAsia="宋体"/>
          <w:lang w:eastAsia="zh-CN"/>
        </w:rPr>
      </w:pPr>
    </w:p>
    <w:p>
      <w:pPr>
        <w:pStyle w:val="2"/>
        <w:rPr>
          <w:rStyle w:val="30"/>
          <w:rFonts w:hint="eastAsia" w:eastAsia="宋体"/>
          <w:lang w:eastAsia="zh-CN"/>
        </w:rPr>
      </w:pPr>
      <w:r>
        <w:rPr>
          <w:rFonts w:hint="eastAsia" w:ascii="宋体" w:hAnsi="Courier New" w:eastAsia="宋体" w:cs="Times New Roman"/>
          <w:kern w:val="2"/>
          <w:sz w:val="21"/>
          <w:szCs w:val="20"/>
          <w:lang w:val="en-US" w:eastAsia="zh-CN" w:bidi="ar-SA"/>
        </w:rPr>
        <w:pict>
          <v:shape id="图片 1" o:spid="_x0000_s1026" type="#_x0000_t75" style="height:340.7pt;width:486.6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sectPr>
      <w:headerReference r:id="rId4" w:type="default"/>
      <w:footerReference r:id="rId5"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jc w:val="center"/>
      <w:rPr>
        <w:rStyle w:val="3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Bdr>
        <w:bottom w:val="none" w:color="auto" w:sz="0" w:space="0"/>
      </w:pBdr>
      <w:rPr>
        <w:rStyle w:val="3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3748992">
    <w:nsid w:val="016A6180"/>
    <w:multiLevelType w:val="multilevel"/>
    <w:tmpl w:val="016A6180"/>
    <w:lvl w:ilvl="0" w:tentative="1">
      <w:start w:val="1"/>
      <w:numFmt w:val="decimal"/>
      <w:suff w:val="nothing"/>
      <w:lvlText w:val="%1、"/>
      <w:lvlJc w:val="left"/>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37489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1"/>
  <w:bordersDoNotSurroundFooter w:val="1"/>
  <w:documentProtection w:enforcement="0"/>
  <w:defaultTabStop w:val="420"/>
  <w:drawingGridHorizontalSpacing w:val="0"/>
  <w:displayHorizontalDrawingGridEvery w:val="1"/>
  <w:displayVerticalDrawingGridEvery w:val="1"/>
  <w:doNotUseMarginsForDrawingGridOrigin w:val="1"/>
  <w:drawingGridHorizontalOrigin w:val="1800"/>
  <w:drawingGridVerticalOrigin w:val="1440"/>
  <w:noPunctuationKerning w:val="1"/>
  <w:characterSpacingControl w:val="doNotCompres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2"/>
      <w:lang w:val="en-US" w:eastAsia="zh-CN" w:bidi="ar-SA"/>
    </w:rPr>
  </w:style>
  <w:style w:type="character" w:default="1" w:styleId="12">
    <w:name w:val="Default Paragraph Font"/>
    <w:semiHidden/>
    <w:unhideWhenUsed/>
    <w:qFormat/>
    <w:uiPriority w:val="1"/>
  </w:style>
  <w:style w:type="paragraph" w:customStyle="1" w:styleId="2">
    <w:name w:val="PlainText"/>
    <w:basedOn w:val="1"/>
    <w:link w:val="31"/>
    <w:qFormat/>
    <w:uiPriority w:val="0"/>
    <w:rPr>
      <w:rFonts w:ascii="宋体" w:hAnsi="Courier New"/>
      <w:szCs w:val="20"/>
    </w:rPr>
  </w:style>
  <w:style w:type="paragraph" w:styleId="3">
    <w:name w:val="Body Text"/>
    <w:basedOn w:val="1"/>
    <w:qFormat/>
    <w:uiPriority w:val="0"/>
    <w:pPr>
      <w:spacing w:after="120"/>
    </w:pPr>
  </w:style>
  <w:style w:type="paragraph" w:styleId="4">
    <w:name w:val="Body Text Indent"/>
    <w:basedOn w:val="1"/>
    <w:next w:val="5"/>
    <w:unhideWhenUsed/>
    <w:qFormat/>
    <w:uiPriority w:val="99"/>
    <w:pPr>
      <w:ind w:firstLine="660"/>
    </w:pPr>
    <w:rPr>
      <w:rFonts w:ascii="宋体" w:hAnsi="宋体"/>
      <w:color w:val="000000"/>
      <w:sz w:val="24"/>
      <w:szCs w:val="20"/>
    </w:rPr>
  </w:style>
  <w:style w:type="paragraph" w:styleId="5">
    <w:name w:val="envelope return"/>
    <w:basedOn w:val="1"/>
    <w:qFormat/>
    <w:uiPriority w:val="0"/>
    <w:pPr>
      <w:snapToGrid w:val="0"/>
    </w:pPr>
    <w:rPr>
      <w:rFonts w:ascii="Arial" w:hAnsi="Arial"/>
    </w:r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First Indent 2"/>
    <w:basedOn w:val="4"/>
    <w:qFormat/>
    <w:uiPriority w:val="0"/>
    <w:pPr>
      <w:ind w:left="420" w:firstLine="420" w:firstLineChars="200"/>
    </w:pPr>
  </w:style>
  <w:style w:type="paragraph" w:styleId="8">
    <w:name w:val="header"/>
    <w:basedOn w:val="1"/>
    <w:qFormat/>
    <w:uiPriority w:val="0"/>
    <w:pPr>
      <w:pBdr>
        <w:bottom w:val="single" w:color="000000" w:sz="6" w:space="1"/>
      </w:pBdr>
      <w:tabs>
        <w:tab w:val="center" w:pos="4153"/>
        <w:tab w:val="right" w:pos="8306"/>
      </w:tabs>
      <w:snapToGrid w:val="0"/>
      <w:jc w:val="center"/>
    </w:pPr>
    <w:rPr>
      <w:sz w:val="18"/>
    </w:rPr>
  </w:style>
  <w:style w:type="paragraph" w:styleId="9">
    <w:name w:val="toc 1"/>
    <w:basedOn w:val="1"/>
    <w:next w:val="1"/>
    <w:qFormat/>
    <w:uiPriority w:val="39"/>
    <w:pPr>
      <w:autoSpaceDE w:val="0"/>
      <w:autoSpaceDN w:val="0"/>
      <w:spacing w:before="146"/>
      <w:ind w:left="455"/>
      <w:jc w:val="left"/>
    </w:pPr>
    <w:rPr>
      <w:rFonts w:ascii="宋体" w:hAnsi="宋体" w:cs="宋体"/>
      <w:b/>
      <w:bCs/>
      <w:kern w:val="0"/>
      <w:sz w:val="22"/>
      <w:lang w:val="zh-CN" w:bidi="zh-CN"/>
    </w:rPr>
  </w:style>
  <w:style w:type="paragraph" w:styleId="10">
    <w:name w:val="Body Text Indent 3"/>
    <w:basedOn w:val="1"/>
    <w:qFormat/>
    <w:uiPriority w:val="0"/>
    <w:pPr>
      <w:spacing w:after="120"/>
      <w:ind w:left="420" w:leftChars="200"/>
    </w:pPr>
    <w:rPr>
      <w:sz w:val="16"/>
      <w:szCs w:val="16"/>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auto"/>
    </w:pPr>
    <w:rPr>
      <w:rFonts w:ascii="Arial" w:hAnsi="Arial" w:cs="Arial"/>
      <w:kern w:val="0"/>
      <w:sz w:val="24"/>
      <w:szCs w:val="24"/>
    </w:rPr>
  </w:style>
  <w:style w:type="character" w:styleId="13">
    <w:name w:val="Strong"/>
    <w:qFormat/>
    <w:uiPriority w:val="0"/>
    <w:rPr>
      <w:rFonts w:cs="Times New Roman"/>
      <w:b/>
      <w:bCs/>
    </w:rPr>
  </w:style>
  <w:style w:type="paragraph" w:customStyle="1" w:styleId="14">
    <w:name w:val="TOC1"/>
    <w:basedOn w:val="1"/>
    <w:next w:val="1"/>
    <w:qFormat/>
    <w:uiPriority w:val="0"/>
  </w:style>
  <w:style w:type="paragraph" w:customStyle="1" w:styleId="15">
    <w:name w:val="Heading2"/>
    <w:basedOn w:val="1"/>
    <w:next w:val="1"/>
    <w:qFormat/>
    <w:uiPriority w:val="0"/>
    <w:pPr>
      <w:keepNext/>
      <w:keepLines/>
      <w:spacing w:before="260" w:after="260" w:line="416" w:lineRule="auto"/>
    </w:pPr>
    <w:rPr>
      <w:rFonts w:ascii="Arial" w:hAnsi="Arial" w:eastAsia="黑体"/>
      <w:b/>
      <w:bCs/>
    </w:rPr>
  </w:style>
  <w:style w:type="paragraph" w:customStyle="1" w:styleId="16">
    <w:name w:val="BodyText1I2"/>
    <w:basedOn w:val="17"/>
    <w:qFormat/>
    <w:uiPriority w:val="0"/>
    <w:pPr>
      <w:ind w:left="420" w:firstLine="420" w:firstLineChars="200"/>
    </w:pPr>
  </w:style>
  <w:style w:type="paragraph" w:customStyle="1" w:styleId="17">
    <w:name w:val="BodyTextIndent"/>
    <w:basedOn w:val="1"/>
    <w:next w:val="18"/>
    <w:qFormat/>
    <w:uiPriority w:val="0"/>
    <w:pPr>
      <w:ind w:firstLine="660"/>
    </w:pPr>
    <w:rPr>
      <w:rFonts w:ascii="宋体" w:hAnsi="宋体"/>
      <w:color w:val="000000"/>
      <w:sz w:val="24"/>
      <w:szCs w:val="20"/>
    </w:rPr>
  </w:style>
  <w:style w:type="paragraph" w:customStyle="1" w:styleId="18">
    <w:name w:val="EnvelopeReturn"/>
    <w:basedOn w:val="1"/>
    <w:qFormat/>
    <w:uiPriority w:val="0"/>
    <w:pPr>
      <w:snapToGrid w:val="0"/>
    </w:pPr>
    <w:rPr>
      <w:rFonts w:ascii="Arial" w:hAnsi="Arial"/>
    </w:rPr>
  </w:style>
  <w:style w:type="paragraph" w:customStyle="1" w:styleId="19">
    <w:name w:val="BodyText"/>
    <w:basedOn w:val="1"/>
    <w:qFormat/>
    <w:uiPriority w:val="0"/>
    <w:pPr>
      <w:spacing w:after="120"/>
    </w:pPr>
    <w:rPr>
      <w:rFonts w:ascii="Calibri" w:hAnsi="Calibri"/>
    </w:rPr>
  </w:style>
  <w:style w:type="paragraph" w:customStyle="1" w:styleId="20">
    <w:name w:val="HtmlNormal"/>
    <w:basedOn w:val="1"/>
    <w:qFormat/>
    <w:uiPriority w:val="0"/>
    <w:pPr>
      <w:spacing w:before="100" w:beforeAutospacing="1" w:after="100" w:afterAutospacing="1"/>
      <w:jc w:val="left"/>
    </w:pPr>
    <w:rPr>
      <w:rFonts w:ascii="宋体" w:hAnsi="宋体"/>
      <w:kern w:val="0"/>
      <w:sz w:val="24"/>
      <w:szCs w:val="24"/>
    </w:rPr>
  </w:style>
  <w:style w:type="paragraph" w:customStyle="1" w:styleId="21">
    <w:name w:val="BodyText3"/>
    <w:basedOn w:val="1"/>
    <w:qFormat/>
    <w:uiPriority w:val="0"/>
    <w:pPr>
      <w:spacing w:after="120"/>
    </w:pPr>
    <w:rPr>
      <w:rFonts w:ascii="Calibri" w:hAnsi="Calibri"/>
      <w:sz w:val="16"/>
      <w:szCs w:val="16"/>
    </w:rPr>
  </w:style>
  <w:style w:type="paragraph" w:customStyle="1" w:styleId="22">
    <w:name w:val="UserStyle_2"/>
    <w:basedOn w:val="1"/>
    <w:qFormat/>
    <w:uiPriority w:val="0"/>
    <w:rPr>
      <w:kern w:val="0"/>
      <w:szCs w:val="21"/>
    </w:rPr>
  </w:style>
  <w:style w:type="paragraph" w:customStyle="1" w:styleId="23">
    <w:name w:val="UserStyle_3"/>
    <w:basedOn w:val="1"/>
    <w:qFormat/>
    <w:uiPriority w:val="0"/>
    <w:pPr>
      <w:jc w:val="center"/>
    </w:pPr>
    <w:rPr>
      <w:szCs w:val="24"/>
    </w:rPr>
  </w:style>
  <w:style w:type="paragraph" w:customStyle="1" w:styleId="24">
    <w:name w:val="UserStyle_4"/>
    <w:qFormat/>
    <w:uiPriority w:val="0"/>
    <w:pPr>
      <w:jc w:val="both"/>
      <w:textAlignment w:val="baseline"/>
    </w:pPr>
    <w:rPr>
      <w:rFonts w:ascii="Times New Roman" w:hAnsi="Times New Roman" w:eastAsia="宋体" w:cs="Times New Roman"/>
      <w:kern w:val="2"/>
      <w:sz w:val="21"/>
      <w:lang w:val="en-US" w:eastAsia="zh-CN" w:bidi="ar-SA"/>
    </w:rPr>
  </w:style>
  <w:style w:type="paragraph" w:customStyle="1" w:styleId="25">
    <w:name w:val="179"/>
    <w:basedOn w:val="1"/>
    <w:qFormat/>
    <w:uiPriority w:val="0"/>
    <w:pPr>
      <w:ind w:firstLine="420" w:firstLineChars="200"/>
    </w:pPr>
    <w:rPr>
      <w:szCs w:val="24"/>
    </w:rPr>
  </w:style>
  <w:style w:type="paragraph" w:customStyle="1" w:styleId="26">
    <w:name w:val="列表段落1"/>
    <w:basedOn w:val="1"/>
    <w:qFormat/>
    <w:uiPriority w:val="99"/>
    <w:pPr>
      <w:adjustRightInd w:val="0"/>
      <w:snapToGrid w:val="0"/>
      <w:spacing w:after="200"/>
      <w:ind w:firstLine="420" w:firstLineChars="200"/>
      <w:jc w:val="left"/>
      <w:textAlignment w:val="auto"/>
    </w:pPr>
    <w:rPr>
      <w:rFonts w:ascii="Tahoma" w:hAnsi="Tahoma" w:eastAsia="微软雅黑" w:cs="黑体"/>
      <w:kern w:val="0"/>
      <w:sz w:val="22"/>
    </w:rPr>
  </w:style>
  <w:style w:type="paragraph" w:customStyle="1" w:styleId="27">
    <w:name w:val="List Paragraph"/>
    <w:basedOn w:val="1"/>
    <w:qFormat/>
    <w:uiPriority w:val="34"/>
    <w:pPr>
      <w:widowControl w:val="0"/>
      <w:ind w:firstLine="420" w:firstLineChars="200"/>
      <w:textAlignment w:val="auto"/>
    </w:pPr>
    <w:rPr>
      <w:rFonts w:ascii="Calibri" w:hAnsi="Calibri"/>
    </w:rPr>
  </w:style>
  <w:style w:type="paragraph" w:customStyle="1" w:styleId="28">
    <w:name w:val="列出段落1"/>
    <w:basedOn w:val="1"/>
    <w:qFormat/>
    <w:uiPriority w:val="0"/>
    <w:pPr>
      <w:widowControl w:val="0"/>
      <w:ind w:firstLine="200" w:firstLineChars="200"/>
      <w:textAlignment w:val="auto"/>
    </w:pPr>
    <w:rPr>
      <w:szCs w:val="28"/>
    </w:rPr>
  </w:style>
  <w:style w:type="paragraph" w:customStyle="1" w:styleId="29">
    <w:name w:val="正文文字2"/>
    <w:basedOn w:val="3"/>
    <w:qFormat/>
    <w:uiPriority w:val="0"/>
    <w:pPr>
      <w:widowControl w:val="0"/>
      <w:adjustRightInd w:val="0"/>
      <w:spacing w:after="60" w:line="360" w:lineRule="atLeast"/>
      <w:ind w:left="72" w:leftChars="30" w:right="72" w:rightChars="30"/>
      <w:jc w:val="center"/>
      <w:textAlignment w:val="auto"/>
    </w:pPr>
    <w:rPr>
      <w:kern w:val="0"/>
      <w:szCs w:val="20"/>
    </w:rPr>
  </w:style>
  <w:style w:type="character" w:customStyle="1" w:styleId="30">
    <w:name w:val="NormalCharacter"/>
    <w:qFormat/>
    <w:uiPriority w:val="0"/>
  </w:style>
  <w:style w:type="character" w:customStyle="1" w:styleId="31">
    <w:name w:val="UserStyle_0"/>
    <w:link w:val="2"/>
    <w:qFormat/>
    <w:locked/>
    <w:uiPriority w:val="0"/>
    <w:rPr>
      <w:rFonts w:ascii="宋体" w:hAnsi="Courier New"/>
      <w:kern w:val="2"/>
      <w:sz w:val="21"/>
    </w:rPr>
  </w:style>
  <w:style w:type="character" w:customStyle="1" w:styleId="32">
    <w:name w:val="PageNumber"/>
    <w:basedOn w:val="30"/>
    <w:qFormat/>
    <w:uiPriority w:val="0"/>
    <w:rPr/>
  </w:style>
  <w:style w:type="character" w:customStyle="1" w:styleId="33">
    <w:name w:val="UserStyle_1"/>
    <w:semiHidden/>
    <w:qFormat/>
    <w:uiPriority w:val="0"/>
    <w:rPr>
      <w:rFonts w:ascii="宋体" w:hAnsi="Courier New"/>
      <w:kern w:val="2"/>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customXml" Target="../customXml/item1.xml"/><Relationship Id="rId9"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1232</Words>
  <Characters>7028</Characters>
  <Lines>58</Lines>
  <Paragraphs>16</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2020-11-09T10:00:00Z</dcterms:created>
  <dc:creator>Administrator</dc:creator>
  <cp:lastModifiedBy>Administrator</cp:lastModifiedBy>
  <cp:lastPrinted>2021-05-31T01:13:12Z</cp:lastPrinted>
  <dcterms:modified xsi:type="dcterms:W3CDTF">2021-05-31T01:13:37Z</dcterms:modified>
  <dc:title>市人民医院门诊8楼1号会议室LED显示屏项目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ICV">
    <vt:lpwstr>628AD6F51C81435BBC98F82CCF951780</vt:lpwstr>
  </property>
</Properties>
</file>