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我院采购的脑卒中配套耗材</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脑卒中配套耗材</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脑卒中配套耗材</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4.1中标人所有货物质保服务</w:t>
      </w:r>
      <w:r>
        <w:rPr>
          <w:rFonts w:hint="eastAsia"/>
          <w:sz w:val="30"/>
          <w:szCs w:val="30"/>
          <w:lang w:eastAsia="zh-CN"/>
        </w:rPr>
        <w:t>有效期不少于</w:t>
      </w:r>
      <w:r>
        <w:rPr>
          <w:rFonts w:hint="eastAsia"/>
          <w:sz w:val="30"/>
          <w:szCs w:val="30"/>
          <w:lang w:val="en-US" w:eastAsia="zh-CN"/>
        </w:rPr>
        <w:t>18个月</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2E6101D"/>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2021-05-20T09:12:09Z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EE91FEA13C9C41C5890A29298A46B258</vt:lpwstr>
  </property>
</Properties>
</file>