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2020年度部门预算绩效评价项目（3个）要求</w:t>
      </w:r>
    </w:p>
    <w:p>
      <w:pPr>
        <w:rPr>
          <w:rFonts w:ascii="仿宋" w:hAnsi="仿宋" w:eastAsia="仿宋" w:cs="黑体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本地具有会计师事务所资质均可参加</w:t>
      </w:r>
      <w:r>
        <w:rPr>
          <w:rFonts w:hint="eastAsia" w:ascii="仿宋" w:hAnsi="仿宋" w:eastAsia="仿宋" w:cs="黑体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>开展3个项目（药品费、卫生材料、医疗设备采购）部门预算绩效评价及业务指导，2021年6月10日之前出具部门绩效评价报告及评价表（市财政局规定格式），每个项目预算价格8000元，</w:t>
      </w:r>
      <w:r>
        <w:rPr>
          <w:rFonts w:hint="eastAsia" w:ascii="仿宋" w:hAnsi="仿宋" w:eastAsia="仿宋" w:cs="黑体"/>
          <w:sz w:val="28"/>
          <w:szCs w:val="28"/>
          <w:highlight w:val="none"/>
          <w:lang w:val="en-US" w:eastAsia="zh-CN"/>
        </w:rPr>
        <w:t>共计2.4</w:t>
      </w:r>
      <w:r>
        <w:rPr>
          <w:rFonts w:hint="eastAsia" w:ascii="仿宋" w:hAnsi="仿宋" w:eastAsia="仿宋" w:cs="黑体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黑体"/>
          <w:sz w:val="28"/>
          <w:szCs w:val="28"/>
        </w:rPr>
        <w:t>。</w:t>
      </w: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申请人的资格要求</w:t>
      </w: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1、具有法人资格；</w:t>
      </w: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2、本项目的特定资格要求：</w:t>
      </w: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供应商须同时满足下列资格要求：</w:t>
      </w:r>
    </w:p>
    <w:p>
      <w:pPr>
        <w:ind w:firstLine="560" w:firstLineChars="200"/>
        <w:rPr>
          <w:rFonts w:hint="eastAsia"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供应商须具备财政部门批准的会计师事务所（或分析）执业证书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</Words>
  <Characters>59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2020-05-20T09:31:00Z</dcterms:created>
  <dc:creator>敏敏</dc:creator>
  <cp:lastModifiedBy>PengRong</cp:lastModifiedBy>
  <cp:lastPrinted>2021-05-10T11:13:12Z</cp:lastPrinted>
  <dcterms:modified xsi:type="dcterms:W3CDTF">2021-05-10T11:13:29Z</dcterms:modified>
  <dc:title>2020年度部门预算绩效评价项目（3个）要求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