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lang w:val="en-US" w:eastAsia="zh-CN"/>
        </w:rPr>
        <w:t>2020年度</w:t>
      </w:r>
      <w:r>
        <w:rPr>
          <w:rFonts w:hint="eastAsia"/>
        </w:rPr>
        <w:t>部门预算绩效</w:t>
      </w:r>
      <w:r>
        <w:rPr>
          <w:rFonts w:hint="eastAsia"/>
          <w:lang w:val="en-US" w:eastAsia="zh-CN"/>
        </w:rPr>
        <w:t>评价项目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lang w:val="en-US" w:eastAsia="zh-CN"/>
        </w:rPr>
        <w:t>2020年度</w:t>
      </w:r>
      <w:r>
        <w:rPr>
          <w:rFonts w:hint="eastAsia"/>
        </w:rPr>
        <w:t>部门预算绩效</w:t>
      </w:r>
      <w:r>
        <w:rPr>
          <w:rFonts w:hint="eastAsia"/>
          <w:lang w:val="en-US" w:eastAsia="zh-CN"/>
        </w:rPr>
        <w:t>评价项目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2021-05-08T07:56:15Z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