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黑体" w:hAnsi="黑体" w:eastAsia="黑体" w:cs="黑体"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sz w:val="28"/>
          <w:szCs w:val="28"/>
        </w:rPr>
        <w:t>2020年度部门预算绩效评价项目（3个）要求</w:t>
      </w:r>
      <w:bookmarkEnd w:id="0"/>
    </w:p>
    <w:p>
      <w:pPr>
        <w:rPr>
          <w:rFonts w:ascii="仿宋" w:hAnsi="仿宋" w:eastAsia="仿宋" w:cs="黑体"/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 w:ascii="仿宋" w:hAnsi="仿宋" w:eastAsia="仿宋" w:cs="黑体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黑体"/>
          <w:sz w:val="28"/>
          <w:szCs w:val="28"/>
        </w:rPr>
        <w:t>本地具有会计师事务所资质均可参加</w:t>
      </w:r>
      <w:r>
        <w:rPr>
          <w:rFonts w:hint="eastAsia" w:ascii="仿宋" w:hAnsi="仿宋" w:eastAsia="仿宋" w:cs="黑体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黑体"/>
          <w:sz w:val="28"/>
          <w:szCs w:val="28"/>
          <w:lang w:val="en-US" w:eastAsia="zh-CN"/>
        </w:rPr>
        <w:t>开展3个项目（药品费、卫生材料、医疗设备采购）部门预算绩效评价及业务指导，2021年6月10日之前出具部门绩效评价报告及评价表（市财政局规定格式），每个项目预算价格8000元，</w:t>
      </w:r>
      <w:r>
        <w:rPr>
          <w:rFonts w:hint="eastAsia" w:ascii="仿宋" w:hAnsi="仿宋" w:eastAsia="仿宋" w:cs="黑体"/>
          <w:sz w:val="28"/>
          <w:szCs w:val="28"/>
          <w:highlight w:val="none"/>
          <w:lang w:val="en-US" w:eastAsia="zh-CN"/>
        </w:rPr>
        <w:t>共计2.4</w:t>
      </w:r>
      <w:r>
        <w:rPr>
          <w:rFonts w:hint="eastAsia" w:ascii="仿宋" w:hAnsi="仿宋" w:eastAsia="仿宋" w:cs="黑体"/>
          <w:sz w:val="28"/>
          <w:szCs w:val="28"/>
          <w:highlight w:val="none"/>
        </w:rPr>
        <w:t>万元</w:t>
      </w:r>
      <w:r>
        <w:rPr>
          <w:rFonts w:hint="eastAsia" w:ascii="仿宋" w:hAnsi="仿宋" w:eastAsia="仿宋" w:cs="黑体"/>
          <w:sz w:val="28"/>
          <w:szCs w:val="28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</Words>
  <Characters>59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2020-05-20T09:31:00Z</dcterms:created>
  <dc:creator>敏敏</dc:creator>
  <cp:lastModifiedBy>Administrator</cp:lastModifiedBy>
  <dcterms:modified xsi:type="dcterms:W3CDTF">2021-05-08T07:54:20Z</dcterms:modified>
  <dc:title>2020年度部门预算绩效评价项目（3个）要求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