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val="0"/>
        <w:numPr>
          <w:ilvl w:val="0"/>
          <w:numId w:val="0"/>
        </w:numPr>
        <w:jc w:val="center"/>
        <w:rPr>
          <w:rFonts w:hint="eastAsia" w:ascii="黑体" w:hAnsi="黑体" w:eastAsia="黑体" w:cs="黑体"/>
          <w:sz w:val="44"/>
          <w:szCs w:val="44"/>
        </w:rPr>
      </w:pPr>
      <w:bookmarkStart w:id="0" w:name="_GoBack"/>
      <w:bookmarkEnd w:id="0"/>
    </w:p>
    <w:p>
      <w:pPr>
        <w:jc w:val="center"/>
        <w:rPr>
          <w:rFonts w:hint="eastAsia" w:ascii="宋体" w:hAnsi="宋体" w:eastAsia="宋体" w:cs="宋体"/>
          <w:b/>
          <w:bCs/>
          <w:sz w:val="32"/>
          <w:szCs w:val="32"/>
        </w:rPr>
      </w:pPr>
      <w:r>
        <w:rPr>
          <w:rFonts w:hint="eastAsia" w:ascii="宋体" w:hAnsi="宋体" w:eastAsia="宋体" w:cs="宋体"/>
          <w:b/>
          <w:bCs/>
          <w:sz w:val="32"/>
          <w:szCs w:val="32"/>
        </w:rPr>
        <w:t>市人民医院门诊8楼1号会议室LED显示屏项目</w:t>
      </w:r>
    </w:p>
    <w:p>
      <w:pPr>
        <w:jc w:val="center"/>
        <w:rPr>
          <w:rFonts w:hint="eastAsia" w:ascii="宋体" w:hAnsi="宋体" w:eastAsia="宋体" w:cs="宋体"/>
          <w:b/>
          <w:bCs/>
          <w:sz w:val="32"/>
          <w:szCs w:val="32"/>
        </w:rPr>
      </w:pPr>
      <w:r>
        <w:rPr>
          <w:rFonts w:hint="eastAsia" w:ascii="宋体" w:hAnsi="宋体" w:eastAsia="宋体" w:cs="宋体"/>
          <w:b/>
          <w:bCs/>
          <w:sz w:val="32"/>
          <w:szCs w:val="32"/>
        </w:rPr>
        <w:t>采购需求</w:t>
      </w:r>
    </w:p>
    <w:p>
      <w:pPr>
        <w:jc w:val="both"/>
        <w:rPr>
          <w:sz w:val="30"/>
          <w:szCs w:val="30"/>
        </w:rPr>
      </w:pPr>
      <w:r>
        <w:rPr>
          <w:rFonts w:hint="eastAsia"/>
          <w:sz w:val="30"/>
          <w:szCs w:val="30"/>
        </w:rPr>
        <w:t>项目概况</w:t>
      </w:r>
    </w:p>
    <w:p>
      <w:pPr>
        <w:rPr>
          <w:sz w:val="28"/>
          <w:szCs w:val="28"/>
        </w:rPr>
      </w:pPr>
      <w:r>
        <w:rPr>
          <w:rFonts w:hint="eastAsia"/>
          <w:sz w:val="30"/>
          <w:szCs w:val="30"/>
        </w:rPr>
        <w:t xml:space="preserve">    市人民医院</w:t>
      </w:r>
      <w:r>
        <w:rPr>
          <w:rFonts w:hint="eastAsia" w:ascii="Calibri" w:hAnsi="Calibri"/>
          <w:sz w:val="28"/>
          <w:szCs w:val="36"/>
        </w:rPr>
        <w:t>门诊8楼1号会议室，主要承担院级会议、科教研培训、医疗学术交流等工作，</w:t>
      </w:r>
      <w:r>
        <w:rPr>
          <w:rFonts w:hint="eastAsia"/>
          <w:sz w:val="28"/>
          <w:szCs w:val="28"/>
        </w:rPr>
        <w:t>因工作需要，需要增加LED显示屏（20.5平方米）。主要应用于大型活动、会议内容的播放，会议室4台电视（已有）与显示屏的内容同时显示，LED显示屏的音频要求自动切放到会议室的音响设备，LED显示屏必须满足两种模式：a、整屏显示；b、会议模式，显示区域左右居中、自顶而下显示，显示尺寸4m*2.4m。未到现场调研者，表示认可本案。</w:t>
      </w:r>
    </w:p>
    <w:p>
      <w:pPr>
        <w:widowControl w:val="0"/>
        <w:numPr>
          <w:ilvl w:val="0"/>
          <w:numId w:val="1"/>
        </w:numPr>
        <w:textAlignment w:val="auto"/>
        <w:rPr>
          <w:sz w:val="30"/>
          <w:szCs w:val="30"/>
        </w:rPr>
      </w:pPr>
      <w:r>
        <w:rPr>
          <w:rFonts w:hint="eastAsia"/>
          <w:sz w:val="30"/>
          <w:szCs w:val="30"/>
        </w:rPr>
        <w:t>需求清单及参数要求</w:t>
      </w:r>
    </w:p>
    <w:p>
      <w:pPr>
        <w:pStyle w:val="2"/>
      </w:pPr>
    </w:p>
    <w:tbl>
      <w:tblPr>
        <w:tblStyle w:val="7"/>
        <w:tblW w:w="89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75"/>
        <w:gridCol w:w="993"/>
        <w:gridCol w:w="4720"/>
        <w:gridCol w:w="736"/>
        <w:gridCol w:w="873"/>
        <w:gridCol w:w="10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jc w:val="center"/>
        </w:trPr>
        <w:tc>
          <w:tcPr>
            <w:tcW w:w="675" w:type="dxa"/>
            <w:tcBorders>
              <w:top w:val="single" w:color="000000" w:sz="8" w:space="0"/>
              <w:left w:val="single" w:color="000000" w:sz="8" w:space="0"/>
              <w:bottom w:val="single" w:color="000000" w:sz="8" w:space="0"/>
              <w:right w:val="single" w:color="000000" w:sz="8" w:space="0"/>
            </w:tcBorders>
            <w:noWrap w:val="0"/>
            <w:vAlign w:val="center"/>
          </w:tcPr>
          <w:p>
            <w:pPr>
              <w:pStyle w:val="9"/>
              <w:spacing w:line="320" w:lineRule="exact"/>
              <w:jc w:val="center"/>
              <w:rPr>
                <w:rStyle w:val="10"/>
                <w:rFonts w:ascii="宋体" w:hAnsi="宋体" w:eastAsia="宋体"/>
                <w:b/>
                <w:sz w:val="24"/>
                <w:szCs w:val="24"/>
              </w:rPr>
            </w:pPr>
            <w:r>
              <w:rPr>
                <w:rStyle w:val="10"/>
                <w:rFonts w:ascii="宋体" w:hAnsi="宋体" w:eastAsia="宋体"/>
                <w:b/>
                <w:sz w:val="24"/>
                <w:szCs w:val="24"/>
              </w:rPr>
              <w:t>序号</w:t>
            </w:r>
          </w:p>
        </w:tc>
        <w:tc>
          <w:tcPr>
            <w:tcW w:w="993" w:type="dxa"/>
            <w:tcBorders>
              <w:top w:val="single" w:color="000000" w:sz="8" w:space="0"/>
              <w:left w:val="single" w:color="000000" w:sz="8" w:space="0"/>
              <w:bottom w:val="single" w:color="000000" w:sz="8" w:space="0"/>
              <w:right w:val="single" w:color="000000" w:sz="8" w:space="0"/>
            </w:tcBorders>
            <w:noWrap w:val="0"/>
            <w:vAlign w:val="center"/>
          </w:tcPr>
          <w:p>
            <w:pPr>
              <w:pStyle w:val="9"/>
              <w:spacing w:line="320" w:lineRule="exact"/>
              <w:jc w:val="center"/>
              <w:rPr>
                <w:rStyle w:val="10"/>
                <w:rFonts w:ascii="宋体" w:hAnsi="宋体" w:eastAsia="宋体"/>
                <w:b/>
                <w:sz w:val="24"/>
                <w:szCs w:val="24"/>
              </w:rPr>
            </w:pPr>
            <w:r>
              <w:rPr>
                <w:rStyle w:val="10"/>
                <w:rFonts w:ascii="宋体" w:hAnsi="宋体" w:eastAsia="宋体"/>
                <w:b/>
                <w:sz w:val="24"/>
                <w:szCs w:val="24"/>
              </w:rPr>
              <w:t>内容</w:t>
            </w:r>
          </w:p>
        </w:tc>
        <w:tc>
          <w:tcPr>
            <w:tcW w:w="4720" w:type="dxa"/>
            <w:tcBorders>
              <w:top w:val="single" w:color="000000" w:sz="8" w:space="0"/>
              <w:left w:val="single" w:color="000000" w:sz="8" w:space="0"/>
              <w:bottom w:val="single" w:color="000000" w:sz="8" w:space="0"/>
              <w:right w:val="single" w:color="000000" w:sz="8" w:space="0"/>
            </w:tcBorders>
            <w:noWrap w:val="0"/>
            <w:vAlign w:val="center"/>
          </w:tcPr>
          <w:p>
            <w:pPr>
              <w:pStyle w:val="9"/>
              <w:spacing w:line="320" w:lineRule="exact"/>
              <w:jc w:val="center"/>
              <w:rPr>
                <w:rStyle w:val="10"/>
                <w:rFonts w:ascii="宋体" w:hAnsi="宋体" w:eastAsia="宋体"/>
                <w:b/>
                <w:sz w:val="24"/>
                <w:szCs w:val="24"/>
              </w:rPr>
            </w:pPr>
            <w:r>
              <w:rPr>
                <w:rStyle w:val="10"/>
                <w:rFonts w:ascii="宋体" w:hAnsi="宋体" w:eastAsia="宋体"/>
                <w:b/>
                <w:sz w:val="24"/>
                <w:szCs w:val="24"/>
              </w:rPr>
              <w:t>型号及规格</w:t>
            </w:r>
          </w:p>
        </w:tc>
        <w:tc>
          <w:tcPr>
            <w:tcW w:w="736" w:type="dxa"/>
            <w:tcBorders>
              <w:top w:val="single" w:color="000000" w:sz="8" w:space="0"/>
              <w:left w:val="single" w:color="000000" w:sz="8" w:space="0"/>
              <w:bottom w:val="single" w:color="000000" w:sz="8" w:space="0"/>
              <w:right w:val="single" w:color="000000" w:sz="8" w:space="0"/>
            </w:tcBorders>
            <w:noWrap w:val="0"/>
            <w:vAlign w:val="center"/>
          </w:tcPr>
          <w:p>
            <w:pPr>
              <w:pStyle w:val="9"/>
              <w:spacing w:line="320" w:lineRule="exact"/>
              <w:jc w:val="center"/>
              <w:rPr>
                <w:rStyle w:val="10"/>
                <w:rFonts w:ascii="宋体" w:hAnsi="宋体" w:eastAsia="宋体"/>
                <w:b/>
                <w:sz w:val="24"/>
                <w:szCs w:val="24"/>
              </w:rPr>
            </w:pPr>
            <w:r>
              <w:rPr>
                <w:rStyle w:val="10"/>
                <w:rFonts w:ascii="宋体" w:hAnsi="宋体" w:eastAsia="宋体"/>
                <w:b/>
                <w:sz w:val="24"/>
                <w:szCs w:val="24"/>
              </w:rPr>
              <w:t>数量</w:t>
            </w:r>
          </w:p>
        </w:tc>
        <w:tc>
          <w:tcPr>
            <w:tcW w:w="873" w:type="dxa"/>
            <w:tcBorders>
              <w:top w:val="single" w:color="000000" w:sz="8" w:space="0"/>
              <w:left w:val="single" w:color="000000" w:sz="8" w:space="0"/>
              <w:bottom w:val="single" w:color="000000" w:sz="8" w:space="0"/>
              <w:right w:val="single" w:color="000000" w:sz="8" w:space="0"/>
            </w:tcBorders>
            <w:noWrap w:val="0"/>
            <w:vAlign w:val="top"/>
          </w:tcPr>
          <w:p>
            <w:pPr>
              <w:pStyle w:val="9"/>
              <w:spacing w:line="320" w:lineRule="exact"/>
              <w:jc w:val="center"/>
              <w:rPr>
                <w:rStyle w:val="10"/>
                <w:rFonts w:ascii="宋体" w:hAnsi="宋体" w:eastAsia="宋体"/>
                <w:b/>
                <w:sz w:val="24"/>
                <w:szCs w:val="24"/>
              </w:rPr>
            </w:pPr>
            <w:r>
              <w:rPr>
                <w:rStyle w:val="10"/>
                <w:rFonts w:hint="eastAsia" w:ascii="宋体" w:hAnsi="宋体" w:eastAsia="宋体"/>
                <w:b/>
                <w:sz w:val="24"/>
                <w:szCs w:val="24"/>
              </w:rPr>
              <w:t>单价</w:t>
            </w:r>
          </w:p>
        </w:tc>
        <w:tc>
          <w:tcPr>
            <w:tcW w:w="1001" w:type="dxa"/>
            <w:tcBorders>
              <w:top w:val="single" w:color="000000" w:sz="8" w:space="0"/>
              <w:left w:val="single" w:color="000000" w:sz="8" w:space="0"/>
              <w:bottom w:val="single" w:color="000000" w:sz="8" w:space="0"/>
              <w:right w:val="single" w:color="000000" w:sz="8" w:space="0"/>
            </w:tcBorders>
            <w:noWrap w:val="0"/>
            <w:vAlign w:val="top"/>
          </w:tcPr>
          <w:p>
            <w:pPr>
              <w:pStyle w:val="9"/>
              <w:spacing w:line="320" w:lineRule="exact"/>
              <w:jc w:val="center"/>
              <w:rPr>
                <w:rStyle w:val="10"/>
                <w:rFonts w:ascii="宋体" w:hAnsi="宋体" w:eastAsia="宋体"/>
                <w:b/>
                <w:sz w:val="24"/>
                <w:szCs w:val="24"/>
              </w:rPr>
            </w:pPr>
            <w:r>
              <w:rPr>
                <w:rStyle w:val="10"/>
                <w:rFonts w:hint="eastAsia" w:ascii="宋体" w:hAnsi="宋体" w:eastAsia="宋体"/>
                <w:b/>
                <w:sz w:val="24"/>
                <w:szCs w:val="24"/>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9" w:hRule="atLeast"/>
          <w:jc w:val="center"/>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ascii="宋体" w:hAnsi="宋体" w:eastAsia="宋体"/>
                <w:kern w:val="0"/>
                <w:sz w:val="24"/>
                <w:szCs w:val="24"/>
              </w:rPr>
              <w:t>1</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jc w:val="left"/>
              <w:rPr>
                <w:rStyle w:val="10"/>
                <w:rFonts w:ascii="宋体" w:hAnsi="宋体" w:eastAsia="宋体"/>
                <w:kern w:val="0"/>
                <w:sz w:val="24"/>
                <w:szCs w:val="24"/>
              </w:rPr>
            </w:pPr>
            <w:r>
              <w:rPr>
                <w:rFonts w:hint="eastAsia"/>
                <w:sz w:val="24"/>
                <w:szCs w:val="24"/>
              </w:rPr>
              <w:t>▲</w:t>
            </w:r>
            <w:r>
              <w:rPr>
                <w:rStyle w:val="10"/>
                <w:rFonts w:ascii="宋体" w:hAnsi="宋体" w:eastAsia="宋体"/>
                <w:color w:val="000000"/>
                <w:kern w:val="0"/>
                <w:sz w:val="24"/>
                <w:szCs w:val="24"/>
              </w:rPr>
              <w:t>室内全彩</w:t>
            </w:r>
            <w:r>
              <w:rPr>
                <w:rStyle w:val="10"/>
                <w:rFonts w:hint="eastAsia" w:ascii="宋体" w:hAnsi="宋体" w:eastAsia="宋体"/>
                <w:color w:val="000000"/>
                <w:kern w:val="0"/>
                <w:sz w:val="24"/>
                <w:szCs w:val="24"/>
              </w:rPr>
              <w:t>2.0显示屏</w:t>
            </w:r>
          </w:p>
        </w:tc>
        <w:tc>
          <w:tcPr>
            <w:tcW w:w="4720"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auto"/>
              <w:rPr>
                <w:rFonts w:ascii="宋体" w:hAnsi="宋体" w:eastAsia="宋体"/>
                <w:sz w:val="24"/>
                <w:szCs w:val="24"/>
              </w:rPr>
            </w:pPr>
            <w:r>
              <w:rPr>
                <w:rFonts w:hint="eastAsia" w:ascii="宋体" w:hAnsi="宋体" w:eastAsia="宋体"/>
                <w:sz w:val="24"/>
                <w:szCs w:val="24"/>
                <w:highlight w:val="yellow"/>
              </w:rPr>
              <w:t>1、显示屏尺寸为宽≥</w:t>
            </w:r>
            <w:r>
              <w:rPr>
                <w:rFonts w:hint="eastAsia" w:ascii="宋体" w:hAnsi="宋体" w:eastAsia="宋体" w:cs="宋体"/>
                <w:sz w:val="24"/>
                <w:szCs w:val="24"/>
                <w:highlight w:val="yellow"/>
              </w:rPr>
              <w:t>6.72</w:t>
            </w:r>
            <w:r>
              <w:rPr>
                <w:rFonts w:hint="eastAsia" w:ascii="宋体" w:hAnsi="宋体" w:eastAsia="宋体"/>
                <w:sz w:val="24"/>
                <w:szCs w:val="24"/>
                <w:highlight w:val="yellow"/>
              </w:rPr>
              <w:t>m，高≥</w:t>
            </w:r>
            <w:r>
              <w:rPr>
                <w:rFonts w:hint="eastAsia" w:ascii="宋体" w:hAnsi="宋体" w:eastAsia="宋体" w:cs="宋体"/>
                <w:sz w:val="24"/>
                <w:szCs w:val="24"/>
                <w:highlight w:val="yellow"/>
              </w:rPr>
              <w:t>3.04</w:t>
            </w:r>
            <w:r>
              <w:rPr>
                <w:rFonts w:hint="eastAsia" w:ascii="宋体" w:hAnsi="宋体" w:eastAsia="宋体"/>
                <w:sz w:val="24"/>
                <w:szCs w:val="24"/>
                <w:highlight w:val="yellow"/>
              </w:rPr>
              <w:t>m，显示面积≥20.5㎡，分辨率≥3360×1520</w:t>
            </w:r>
            <w:r>
              <w:rPr>
                <w:rFonts w:hint="eastAsia" w:ascii="宋体" w:hAnsi="宋体" w:eastAsia="宋体"/>
                <w:sz w:val="24"/>
                <w:szCs w:val="24"/>
              </w:rPr>
              <w:t>，长宽尺寸和面积不小于规定像素点间距≤2.0mm尺寸。</w:t>
            </w:r>
          </w:p>
          <w:p>
            <w:pPr>
              <w:jc w:val="left"/>
              <w:textAlignment w:val="auto"/>
              <w:rPr>
                <w:rFonts w:ascii="宋体" w:hAnsi="宋体" w:eastAsia="宋体"/>
                <w:sz w:val="24"/>
                <w:szCs w:val="24"/>
                <w:highlight w:val="yellow"/>
              </w:rPr>
            </w:pPr>
            <w:r>
              <w:rPr>
                <w:rFonts w:hint="eastAsia" w:ascii="宋体" w:hAnsi="宋体" w:eastAsia="宋体"/>
                <w:sz w:val="24"/>
                <w:szCs w:val="24"/>
              </w:rPr>
              <w:t>★</w:t>
            </w:r>
            <w:r>
              <w:rPr>
                <w:rFonts w:hint="eastAsia" w:ascii="宋体" w:hAnsi="宋体" w:eastAsia="宋体"/>
                <w:sz w:val="24"/>
                <w:szCs w:val="24"/>
                <w:highlight w:val="yellow"/>
              </w:rPr>
              <w:t>2、LED显示屏必须满足两种模式：a、整屏显示；b、会议模式:显示区域左右居中、自顶而下显示，显示尺寸4m*2.4m。</w:t>
            </w:r>
          </w:p>
          <w:p>
            <w:pPr>
              <w:rPr>
                <w:rFonts w:ascii="宋体" w:hAnsi="宋体" w:eastAsia="宋体"/>
                <w:sz w:val="24"/>
                <w:szCs w:val="24"/>
              </w:rPr>
            </w:pPr>
            <w:r>
              <w:rPr>
                <w:rFonts w:hint="eastAsia" w:ascii="宋体" w:hAnsi="宋体" w:eastAsia="宋体"/>
                <w:sz w:val="24"/>
                <w:szCs w:val="24"/>
              </w:rPr>
              <w:t>3、工作电压</w:t>
            </w:r>
            <w:r>
              <w:rPr>
                <w:rFonts w:hint="eastAsia" w:ascii="宋体" w:hAnsi="宋体" w:eastAsia="宋体"/>
                <w:sz w:val="24"/>
                <w:szCs w:val="24"/>
              </w:rPr>
              <w:tab/>
            </w:r>
            <w:r>
              <w:rPr>
                <w:rFonts w:hint="eastAsia" w:ascii="宋体" w:hAnsi="宋体" w:eastAsia="宋体"/>
                <w:sz w:val="24"/>
                <w:szCs w:val="24"/>
              </w:rPr>
              <w:t>在4.2×(1±10%）VDC范围内能正常工作。</w:t>
            </w:r>
          </w:p>
          <w:p>
            <w:pPr>
              <w:rPr>
                <w:rFonts w:ascii="宋体" w:hAnsi="宋体" w:eastAsia="宋体"/>
                <w:sz w:val="24"/>
                <w:szCs w:val="24"/>
              </w:rPr>
            </w:pPr>
            <w:r>
              <w:rPr>
                <w:rFonts w:hint="eastAsia" w:ascii="宋体" w:hAnsi="宋体" w:eastAsia="宋体"/>
                <w:sz w:val="24"/>
                <w:szCs w:val="24"/>
              </w:rPr>
              <w:t>4、自动校正</w:t>
            </w:r>
            <w:r>
              <w:rPr>
                <w:rFonts w:hint="eastAsia" w:ascii="宋体" w:hAnsi="宋体" w:eastAsia="宋体"/>
                <w:sz w:val="24"/>
                <w:szCs w:val="24"/>
              </w:rPr>
              <w:tab/>
            </w:r>
            <w:r>
              <w:rPr>
                <w:rFonts w:hint="eastAsia" w:ascii="宋体" w:hAnsi="宋体" w:eastAsia="宋体"/>
                <w:sz w:val="24"/>
                <w:szCs w:val="24"/>
              </w:rPr>
              <w:t xml:space="preserve"> 数据采集自动共享到网上，可自行下载校正数据，进行校正和优化。</w:t>
            </w:r>
          </w:p>
          <w:p>
            <w:pPr>
              <w:rPr>
                <w:rFonts w:ascii="宋体" w:hAnsi="宋体" w:eastAsia="宋体"/>
                <w:sz w:val="24"/>
                <w:szCs w:val="24"/>
              </w:rPr>
            </w:pPr>
            <w:r>
              <w:rPr>
                <w:rFonts w:hint="eastAsia" w:ascii="宋体" w:hAnsi="宋体" w:eastAsia="宋体"/>
                <w:sz w:val="24"/>
                <w:szCs w:val="24"/>
              </w:rPr>
              <w:t>5、材质 箱体采用镁合金/压铸铝/铁材质符合，套件采用采用聚碳酸酯和玻璃纤维材质。</w:t>
            </w:r>
          </w:p>
          <w:p>
            <w:pPr>
              <w:rPr>
                <w:rFonts w:ascii="宋体" w:hAnsi="宋体" w:eastAsia="宋体"/>
                <w:sz w:val="24"/>
                <w:szCs w:val="24"/>
              </w:rPr>
            </w:pPr>
            <w:r>
              <w:rPr>
                <w:rFonts w:hint="eastAsia" w:ascii="宋体" w:hAnsi="宋体" w:eastAsia="宋体"/>
                <w:sz w:val="24"/>
                <w:szCs w:val="24"/>
              </w:rPr>
              <w:t>6、系统调节功能</w:t>
            </w:r>
            <w:r>
              <w:rPr>
                <w:rFonts w:hint="eastAsia" w:ascii="宋体" w:hAnsi="宋体" w:eastAsia="宋体"/>
                <w:sz w:val="24"/>
                <w:szCs w:val="24"/>
              </w:rPr>
              <w:tab/>
            </w:r>
            <w:r>
              <w:rPr>
                <w:rFonts w:hint="eastAsia" w:ascii="宋体" w:hAnsi="宋体" w:eastAsia="宋体"/>
                <w:sz w:val="24"/>
                <w:szCs w:val="24"/>
              </w:rPr>
              <w:t>可通过系统调节参数影响显示效果。</w:t>
            </w:r>
          </w:p>
          <w:p>
            <w:pPr>
              <w:rPr>
                <w:rFonts w:ascii="宋体" w:hAnsi="宋体" w:eastAsia="宋体"/>
                <w:sz w:val="24"/>
                <w:szCs w:val="24"/>
              </w:rPr>
            </w:pPr>
            <w:r>
              <w:rPr>
                <w:rFonts w:hint="eastAsia" w:ascii="宋体" w:hAnsi="宋体" w:eastAsia="宋体"/>
                <w:sz w:val="24"/>
                <w:szCs w:val="24"/>
              </w:rPr>
              <w:t>7、动态扫描</w:t>
            </w:r>
            <w:r>
              <w:rPr>
                <w:rFonts w:hint="eastAsia" w:ascii="宋体" w:hAnsi="宋体" w:eastAsia="宋体"/>
                <w:sz w:val="24"/>
                <w:szCs w:val="24"/>
              </w:rPr>
              <w:tab/>
            </w:r>
            <w:r>
              <w:rPr>
                <w:rFonts w:hint="eastAsia" w:ascii="宋体" w:hAnsi="宋体" w:eastAsia="宋体"/>
                <w:sz w:val="24"/>
                <w:szCs w:val="24"/>
              </w:rPr>
              <w:t>采用行驱动芯片。</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8、支持亮度调节功能。</w:t>
            </w:r>
          </w:p>
          <w:p>
            <w:pPr>
              <w:rPr>
                <w:rFonts w:ascii="宋体" w:hAnsi="宋体" w:eastAsia="宋体"/>
                <w:sz w:val="24"/>
                <w:szCs w:val="24"/>
              </w:rPr>
            </w:pPr>
            <w:r>
              <w:rPr>
                <w:rFonts w:hint="eastAsia" w:ascii="宋体" w:hAnsi="宋体" w:eastAsia="宋体"/>
                <w:sz w:val="24"/>
                <w:szCs w:val="24"/>
              </w:rPr>
              <w:t>9、支持亮度校正、色度校正。</w:t>
            </w:r>
          </w:p>
          <w:p>
            <w:pPr>
              <w:rPr>
                <w:rFonts w:ascii="宋体" w:hAnsi="宋体" w:eastAsia="宋体"/>
                <w:sz w:val="24"/>
                <w:szCs w:val="24"/>
              </w:rPr>
            </w:pPr>
            <w:r>
              <w:rPr>
                <w:rFonts w:hint="eastAsia" w:ascii="宋体" w:hAnsi="宋体" w:eastAsia="宋体"/>
                <w:sz w:val="24"/>
                <w:szCs w:val="24"/>
              </w:rPr>
              <w:t>10、支持鬼影消除、暗亮线消除、慢速开启、十字架消除、毛毛虫消除、亮度缓慢变亮功能。</w:t>
            </w:r>
          </w:p>
          <w:p>
            <w:pPr>
              <w:rPr>
                <w:rFonts w:ascii="宋体" w:hAnsi="宋体" w:eastAsia="宋体"/>
                <w:sz w:val="24"/>
                <w:szCs w:val="24"/>
              </w:rPr>
            </w:pPr>
            <w:r>
              <w:rPr>
                <w:rFonts w:hint="eastAsia" w:ascii="宋体" w:hAnsi="宋体" w:eastAsia="宋体"/>
                <w:sz w:val="24"/>
                <w:szCs w:val="24"/>
              </w:rPr>
              <w:t>11、功能</w:t>
            </w:r>
            <w:r>
              <w:rPr>
                <w:rFonts w:hint="eastAsia" w:ascii="宋体" w:hAnsi="宋体" w:eastAsia="宋体"/>
                <w:sz w:val="24"/>
                <w:szCs w:val="24"/>
              </w:rPr>
              <w:tab/>
            </w:r>
            <w:r>
              <w:rPr>
                <w:rFonts w:hint="eastAsia" w:ascii="宋体" w:hAnsi="宋体" w:eastAsia="宋体"/>
                <w:sz w:val="24"/>
                <w:szCs w:val="24"/>
              </w:rPr>
              <w:t>显示单元均可独立控制，单点故障不影响整屏使用，单元支持带电热插拔；单元板支持前、后维护；系统、电源支持前、后维护。</w:t>
            </w:r>
          </w:p>
          <w:p>
            <w:pPr>
              <w:rPr>
                <w:rFonts w:ascii="宋体" w:hAnsi="宋体" w:eastAsia="宋体"/>
                <w:sz w:val="24"/>
                <w:szCs w:val="24"/>
              </w:rPr>
            </w:pPr>
            <w:r>
              <w:rPr>
                <w:rFonts w:hint="eastAsia" w:ascii="宋体" w:hAnsi="宋体" w:eastAsia="宋体"/>
                <w:sz w:val="24"/>
                <w:szCs w:val="24"/>
              </w:rPr>
              <w:t>★12、防伪功能</w:t>
            </w:r>
            <w:r>
              <w:rPr>
                <w:rFonts w:hint="eastAsia" w:ascii="宋体" w:hAnsi="宋体" w:eastAsia="宋体"/>
                <w:sz w:val="24"/>
                <w:szCs w:val="24"/>
              </w:rPr>
              <w:tab/>
            </w:r>
            <w:r>
              <w:rPr>
                <w:rFonts w:hint="eastAsia" w:ascii="宋体" w:hAnsi="宋体" w:eastAsia="宋体"/>
                <w:sz w:val="24"/>
                <w:szCs w:val="24"/>
              </w:rPr>
              <w:t>具备logo、产品型号。</w:t>
            </w:r>
          </w:p>
          <w:p>
            <w:pPr>
              <w:rPr>
                <w:rFonts w:ascii="宋体" w:hAnsi="宋体" w:eastAsia="宋体"/>
                <w:sz w:val="24"/>
                <w:szCs w:val="24"/>
              </w:rPr>
            </w:pPr>
            <w:r>
              <w:rPr>
                <w:rFonts w:hint="eastAsia" w:ascii="宋体" w:hAnsi="宋体" w:eastAsia="宋体"/>
                <w:sz w:val="24"/>
                <w:szCs w:val="24"/>
              </w:rPr>
              <w:t>13、支持亮暗线拼缝调节。</w:t>
            </w:r>
          </w:p>
          <w:p>
            <w:pPr>
              <w:rPr>
                <w:rFonts w:ascii="宋体" w:hAnsi="宋体" w:eastAsia="宋体"/>
                <w:sz w:val="24"/>
                <w:szCs w:val="24"/>
              </w:rPr>
            </w:pPr>
            <w:r>
              <w:rPr>
                <w:rFonts w:hint="eastAsia" w:ascii="宋体" w:hAnsi="宋体" w:eastAsia="宋体"/>
                <w:sz w:val="24"/>
                <w:szCs w:val="24"/>
              </w:rPr>
              <w:t>14、整屏平整度</w:t>
            </w:r>
            <w:r>
              <w:rPr>
                <w:rFonts w:hint="eastAsia" w:ascii="宋体" w:hAnsi="宋体" w:eastAsia="宋体"/>
                <w:sz w:val="24"/>
                <w:szCs w:val="24"/>
              </w:rPr>
              <w:tab/>
            </w:r>
            <w:r>
              <w:rPr>
                <w:rFonts w:hint="eastAsia" w:ascii="宋体" w:hAnsi="宋体" w:eastAsia="宋体"/>
                <w:sz w:val="24"/>
                <w:szCs w:val="24"/>
              </w:rPr>
              <w:t>≤0.1mm</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15、模组平整度</w:t>
            </w:r>
            <w:r>
              <w:rPr>
                <w:rFonts w:hint="eastAsia" w:ascii="宋体" w:hAnsi="宋体" w:eastAsia="宋体"/>
                <w:sz w:val="24"/>
                <w:szCs w:val="24"/>
              </w:rPr>
              <w:tab/>
            </w:r>
            <w:r>
              <w:rPr>
                <w:rFonts w:hint="eastAsia" w:ascii="宋体" w:hAnsi="宋体" w:eastAsia="宋体"/>
                <w:sz w:val="24"/>
                <w:szCs w:val="24"/>
              </w:rPr>
              <w:t>≤0.04mm</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16、拼接缝</w:t>
            </w:r>
            <w:r>
              <w:rPr>
                <w:rFonts w:hint="eastAsia" w:ascii="宋体" w:hAnsi="宋体" w:eastAsia="宋体"/>
                <w:sz w:val="24"/>
                <w:szCs w:val="24"/>
              </w:rPr>
              <w:tab/>
            </w:r>
            <w:r>
              <w:rPr>
                <w:rFonts w:hint="eastAsia" w:ascii="宋体" w:hAnsi="宋体" w:eastAsia="宋体"/>
                <w:sz w:val="24"/>
                <w:szCs w:val="24"/>
              </w:rPr>
              <w:tab/>
            </w:r>
            <w:r>
              <w:rPr>
                <w:rFonts w:hint="eastAsia" w:ascii="宋体" w:hAnsi="宋体" w:eastAsia="宋体"/>
                <w:sz w:val="24"/>
                <w:szCs w:val="24"/>
              </w:rPr>
              <w:t>≤0.04mm</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17、最大亮度</w:t>
            </w:r>
            <w:r>
              <w:rPr>
                <w:rFonts w:hint="eastAsia" w:ascii="宋体" w:hAnsi="宋体" w:eastAsia="宋体"/>
                <w:sz w:val="24"/>
                <w:szCs w:val="24"/>
              </w:rPr>
              <w:tab/>
            </w:r>
            <w:r>
              <w:rPr>
                <w:rFonts w:hint="eastAsia" w:ascii="宋体" w:hAnsi="宋体" w:eastAsia="宋体"/>
                <w:sz w:val="24"/>
                <w:szCs w:val="24"/>
              </w:rPr>
              <w:t>≥600cd/㎡</w:t>
            </w:r>
          </w:p>
          <w:p>
            <w:pPr>
              <w:rPr>
                <w:rFonts w:ascii="宋体" w:hAnsi="宋体" w:eastAsia="宋体"/>
                <w:sz w:val="24"/>
                <w:szCs w:val="24"/>
              </w:rPr>
            </w:pPr>
            <w:r>
              <w:rPr>
                <w:rFonts w:hint="eastAsia" w:ascii="宋体" w:hAnsi="宋体" w:eastAsia="宋体"/>
                <w:sz w:val="24"/>
                <w:szCs w:val="24"/>
              </w:rPr>
              <w:t>18、最高对比度</w:t>
            </w:r>
            <w:r>
              <w:rPr>
                <w:rFonts w:hint="eastAsia" w:ascii="宋体" w:hAnsi="宋体" w:eastAsia="宋体"/>
                <w:sz w:val="24"/>
                <w:szCs w:val="24"/>
              </w:rPr>
              <w:tab/>
            </w:r>
            <w:r>
              <w:rPr>
                <w:rFonts w:hint="eastAsia" w:ascii="宋体" w:hAnsi="宋体" w:eastAsia="宋体"/>
                <w:sz w:val="24"/>
                <w:szCs w:val="24"/>
              </w:rPr>
              <w:t>≥6000:1</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19、水平视角</w:t>
            </w:r>
            <w:r>
              <w:rPr>
                <w:rFonts w:hint="eastAsia" w:ascii="宋体" w:hAnsi="宋体" w:eastAsia="宋体"/>
                <w:sz w:val="24"/>
                <w:szCs w:val="24"/>
              </w:rPr>
              <w:tab/>
            </w:r>
            <w:r>
              <w:rPr>
                <w:rFonts w:hint="eastAsia" w:ascii="宋体" w:hAnsi="宋体" w:eastAsia="宋体"/>
                <w:sz w:val="24"/>
                <w:szCs w:val="24"/>
              </w:rPr>
              <w:t>≥160°</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20、垂直视角</w:t>
            </w:r>
            <w:r>
              <w:rPr>
                <w:rFonts w:hint="eastAsia" w:ascii="宋体" w:hAnsi="宋体" w:eastAsia="宋体"/>
                <w:sz w:val="24"/>
                <w:szCs w:val="24"/>
              </w:rPr>
              <w:tab/>
            </w:r>
            <w:r>
              <w:rPr>
                <w:rFonts w:hint="eastAsia" w:ascii="宋体" w:hAnsi="宋体" w:eastAsia="宋体"/>
                <w:sz w:val="24"/>
                <w:szCs w:val="24"/>
              </w:rPr>
              <w:t>≥160°</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21、亮度均匀性</w:t>
            </w:r>
            <w:r>
              <w:rPr>
                <w:rFonts w:hint="eastAsia" w:ascii="宋体" w:hAnsi="宋体" w:eastAsia="宋体"/>
                <w:sz w:val="24"/>
                <w:szCs w:val="24"/>
              </w:rPr>
              <w:tab/>
            </w:r>
            <w:r>
              <w:rPr>
                <w:rFonts w:hint="eastAsia" w:ascii="宋体" w:hAnsi="宋体" w:eastAsia="宋体"/>
                <w:sz w:val="24"/>
                <w:szCs w:val="24"/>
              </w:rPr>
              <w:t>≥97%</w:t>
            </w:r>
          </w:p>
          <w:p>
            <w:pPr>
              <w:rPr>
                <w:rFonts w:ascii="宋体" w:hAnsi="宋体" w:eastAsia="宋体"/>
                <w:sz w:val="24"/>
                <w:szCs w:val="24"/>
              </w:rPr>
            </w:pPr>
            <w:r>
              <w:rPr>
                <w:rFonts w:hint="eastAsia" w:ascii="宋体" w:hAnsi="宋体" w:eastAsia="宋体"/>
                <w:sz w:val="24"/>
                <w:szCs w:val="24"/>
              </w:rPr>
              <w:t>22、刷新率</w:t>
            </w:r>
            <w:r>
              <w:rPr>
                <w:rFonts w:hint="eastAsia" w:ascii="宋体" w:hAnsi="宋体" w:eastAsia="宋体"/>
                <w:sz w:val="24"/>
                <w:szCs w:val="24"/>
              </w:rPr>
              <w:tab/>
            </w:r>
            <w:r>
              <w:rPr>
                <w:rFonts w:hint="eastAsia" w:ascii="宋体" w:hAnsi="宋体" w:eastAsia="宋体"/>
                <w:sz w:val="24"/>
                <w:szCs w:val="24"/>
              </w:rPr>
              <w:tab/>
            </w:r>
            <w:r>
              <w:rPr>
                <w:rFonts w:hint="eastAsia" w:ascii="宋体" w:hAnsi="宋体" w:eastAsia="宋体"/>
                <w:sz w:val="24"/>
                <w:szCs w:val="24"/>
              </w:rPr>
              <w:t>≥3200Hz</w:t>
            </w:r>
          </w:p>
          <w:p>
            <w:pPr>
              <w:rPr>
                <w:rFonts w:ascii="宋体" w:hAnsi="宋体" w:eastAsia="宋体"/>
                <w:sz w:val="24"/>
                <w:szCs w:val="24"/>
              </w:rPr>
            </w:pPr>
            <w:r>
              <w:rPr>
                <w:rFonts w:hint="eastAsia" w:ascii="宋体" w:hAnsi="宋体" w:eastAsia="宋体"/>
                <w:sz w:val="24"/>
                <w:szCs w:val="24"/>
              </w:rPr>
              <w:t>23、最大功耗</w:t>
            </w:r>
            <w:r>
              <w:rPr>
                <w:rFonts w:hint="eastAsia" w:ascii="宋体" w:hAnsi="宋体" w:eastAsia="宋体"/>
                <w:sz w:val="24"/>
                <w:szCs w:val="24"/>
              </w:rPr>
              <w:tab/>
            </w:r>
            <w:r>
              <w:rPr>
                <w:rFonts w:hint="eastAsia" w:ascii="宋体" w:hAnsi="宋体" w:eastAsia="宋体"/>
                <w:sz w:val="24"/>
                <w:szCs w:val="24"/>
              </w:rPr>
              <w:t>≤350W/m2</w:t>
            </w:r>
          </w:p>
          <w:p>
            <w:pPr>
              <w:rPr>
                <w:rFonts w:ascii="宋体" w:hAnsi="宋体" w:eastAsia="宋体"/>
                <w:sz w:val="24"/>
                <w:szCs w:val="24"/>
              </w:rPr>
            </w:pPr>
            <w:r>
              <w:rPr>
                <w:rFonts w:hint="eastAsia" w:ascii="宋体" w:hAnsi="宋体" w:eastAsia="宋体"/>
                <w:sz w:val="24"/>
                <w:szCs w:val="24"/>
              </w:rPr>
              <w:t>24、像素中心距精确度</w:t>
            </w:r>
            <w:r>
              <w:rPr>
                <w:rFonts w:hint="eastAsia" w:ascii="宋体" w:hAnsi="宋体" w:eastAsia="宋体"/>
                <w:sz w:val="24"/>
                <w:szCs w:val="24"/>
              </w:rPr>
              <w:tab/>
            </w:r>
            <w:r>
              <w:rPr>
                <w:rFonts w:hint="eastAsia" w:ascii="宋体" w:hAnsi="宋体" w:eastAsia="宋体"/>
                <w:sz w:val="24"/>
                <w:szCs w:val="24"/>
              </w:rPr>
              <w:t>≤3%</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25、像素失控率</w:t>
            </w:r>
            <w:r>
              <w:rPr>
                <w:rFonts w:hint="eastAsia" w:ascii="宋体" w:hAnsi="宋体" w:eastAsia="宋体"/>
                <w:sz w:val="24"/>
                <w:szCs w:val="24"/>
              </w:rPr>
              <w:tab/>
            </w:r>
            <w:r>
              <w:rPr>
                <w:rFonts w:hint="eastAsia" w:ascii="宋体" w:hAnsi="宋体" w:eastAsia="宋体"/>
                <w:sz w:val="24"/>
                <w:szCs w:val="24"/>
              </w:rPr>
              <w:t>&lt;0.01%</w:t>
            </w:r>
          </w:p>
          <w:p>
            <w:pPr>
              <w:rPr>
                <w:rFonts w:ascii="宋体" w:hAnsi="宋体" w:eastAsia="宋体"/>
                <w:sz w:val="24"/>
                <w:szCs w:val="24"/>
              </w:rPr>
            </w:pPr>
            <w:r>
              <w:rPr>
                <w:rFonts w:hint="eastAsia" w:ascii="宋体" w:hAnsi="宋体" w:eastAsia="宋体"/>
                <w:sz w:val="24"/>
                <w:szCs w:val="24"/>
              </w:rPr>
              <w:t>26、灰度级数（信号处理深度） 采用14bit技术</w:t>
            </w:r>
          </w:p>
          <w:p>
            <w:pPr>
              <w:rPr>
                <w:rFonts w:ascii="宋体" w:hAnsi="宋体" w:eastAsia="宋体"/>
                <w:sz w:val="24"/>
                <w:szCs w:val="24"/>
              </w:rPr>
            </w:pPr>
            <w:r>
              <w:rPr>
                <w:rFonts w:hint="eastAsia" w:ascii="宋体" w:hAnsi="宋体" w:eastAsia="宋体"/>
                <w:sz w:val="24"/>
                <w:szCs w:val="24"/>
              </w:rPr>
              <w:t>27、色温</w:t>
            </w:r>
            <w:r>
              <w:rPr>
                <w:rFonts w:hint="eastAsia" w:ascii="宋体" w:hAnsi="宋体" w:eastAsia="宋体"/>
                <w:sz w:val="24"/>
                <w:szCs w:val="24"/>
              </w:rPr>
              <w:tab/>
            </w:r>
            <w:r>
              <w:rPr>
                <w:rFonts w:hint="eastAsia" w:ascii="宋体" w:hAnsi="宋体" w:eastAsia="宋体"/>
                <w:sz w:val="24"/>
                <w:szCs w:val="24"/>
              </w:rPr>
              <w:t>3000K~18000K可调</w:t>
            </w:r>
          </w:p>
          <w:p>
            <w:pPr>
              <w:rPr>
                <w:rFonts w:ascii="宋体" w:hAnsi="宋体" w:eastAsia="宋体"/>
                <w:sz w:val="24"/>
                <w:szCs w:val="24"/>
              </w:rPr>
            </w:pPr>
            <w:r>
              <w:rPr>
                <w:rFonts w:hint="eastAsia" w:ascii="宋体" w:hAnsi="宋体" w:eastAsia="宋体"/>
                <w:sz w:val="24"/>
                <w:szCs w:val="24"/>
              </w:rPr>
              <w:t>28、色度均匀性  ±0.002Cx、Cy内</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29、低亮高灰</w:t>
            </w:r>
            <w:r>
              <w:rPr>
                <w:rFonts w:hint="eastAsia" w:ascii="宋体" w:hAnsi="宋体" w:eastAsia="宋体"/>
                <w:sz w:val="24"/>
                <w:szCs w:val="24"/>
              </w:rPr>
              <w:tab/>
            </w:r>
            <w:r>
              <w:rPr>
                <w:rFonts w:hint="eastAsia" w:ascii="宋体" w:hAnsi="宋体" w:eastAsia="宋体"/>
                <w:sz w:val="24"/>
                <w:szCs w:val="24"/>
              </w:rPr>
              <w:tab/>
            </w:r>
            <w:r>
              <w:rPr>
                <w:rFonts w:hint="eastAsia" w:ascii="宋体" w:hAnsi="宋体" w:eastAsia="宋体"/>
                <w:sz w:val="24"/>
                <w:szCs w:val="24"/>
              </w:rPr>
              <w:t>亮度为20%时信号处理深度（灰度级数）达到14bit</w:t>
            </w:r>
          </w:p>
          <w:p>
            <w:pPr>
              <w:rPr>
                <w:rFonts w:ascii="宋体" w:hAnsi="宋体" w:eastAsia="宋体"/>
                <w:sz w:val="24"/>
                <w:szCs w:val="24"/>
              </w:rPr>
            </w:pPr>
            <w:r>
              <w:rPr>
                <w:rFonts w:hint="eastAsia" w:ascii="宋体" w:hAnsi="宋体" w:eastAsia="宋体"/>
                <w:sz w:val="24"/>
                <w:szCs w:val="24"/>
              </w:rPr>
              <w:t>30、换帧频率</w:t>
            </w:r>
            <w:r>
              <w:rPr>
                <w:rFonts w:hint="eastAsia" w:ascii="宋体" w:hAnsi="宋体" w:eastAsia="宋体"/>
                <w:sz w:val="24"/>
                <w:szCs w:val="24"/>
              </w:rPr>
              <w:tab/>
            </w:r>
            <w:r>
              <w:rPr>
                <w:rFonts w:hint="eastAsia" w:ascii="宋体" w:hAnsi="宋体" w:eastAsia="宋体"/>
                <w:sz w:val="24"/>
                <w:szCs w:val="24"/>
              </w:rPr>
              <w:tab/>
            </w:r>
            <w:r>
              <w:rPr>
                <w:rFonts w:hint="eastAsia" w:ascii="宋体" w:hAnsi="宋体" w:eastAsia="宋体"/>
                <w:sz w:val="24"/>
                <w:szCs w:val="24"/>
              </w:rPr>
              <w:t>60Hz</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31、宽色域</w:t>
            </w:r>
            <w:r>
              <w:rPr>
                <w:rFonts w:hint="eastAsia" w:ascii="宋体" w:hAnsi="宋体" w:eastAsia="宋体"/>
                <w:sz w:val="24"/>
                <w:szCs w:val="24"/>
              </w:rPr>
              <w:tab/>
            </w:r>
            <w:r>
              <w:rPr>
                <w:rFonts w:hint="eastAsia" w:ascii="宋体" w:hAnsi="宋体" w:eastAsia="宋体"/>
                <w:sz w:val="24"/>
                <w:szCs w:val="24"/>
              </w:rPr>
              <w:tab/>
            </w:r>
            <w:r>
              <w:rPr>
                <w:rFonts w:hint="eastAsia" w:ascii="宋体" w:hAnsi="宋体" w:eastAsia="宋体"/>
                <w:sz w:val="24"/>
                <w:szCs w:val="24"/>
              </w:rPr>
              <w:t>测试NTSC色域110.5%</w:t>
            </w:r>
          </w:p>
          <w:p>
            <w:pPr>
              <w:rPr>
                <w:rFonts w:ascii="宋体" w:hAnsi="宋体" w:eastAsia="宋体"/>
                <w:sz w:val="24"/>
                <w:szCs w:val="24"/>
              </w:rPr>
            </w:pPr>
            <w:r>
              <w:rPr>
                <w:rFonts w:hint="eastAsia" w:ascii="宋体" w:hAnsi="宋体" w:eastAsia="宋体"/>
                <w:sz w:val="24"/>
                <w:szCs w:val="24"/>
              </w:rPr>
              <w:t>32、平均功耗</w:t>
            </w:r>
            <w:r>
              <w:rPr>
                <w:rFonts w:hint="eastAsia" w:ascii="宋体" w:hAnsi="宋体" w:eastAsia="宋体"/>
                <w:sz w:val="24"/>
                <w:szCs w:val="24"/>
              </w:rPr>
              <w:tab/>
            </w:r>
            <w:r>
              <w:rPr>
                <w:rFonts w:hint="eastAsia" w:ascii="宋体" w:hAnsi="宋体" w:eastAsia="宋体"/>
                <w:sz w:val="24"/>
                <w:szCs w:val="24"/>
              </w:rPr>
              <w:t>≤150W/m2</w:t>
            </w:r>
          </w:p>
          <w:p>
            <w:pPr>
              <w:rPr>
                <w:rFonts w:ascii="宋体" w:hAnsi="宋体" w:eastAsia="宋体"/>
                <w:sz w:val="24"/>
                <w:szCs w:val="24"/>
              </w:rPr>
            </w:pPr>
            <w:r>
              <w:rPr>
                <w:rFonts w:hint="eastAsia" w:ascii="宋体" w:hAnsi="宋体" w:eastAsia="宋体"/>
                <w:sz w:val="24"/>
                <w:szCs w:val="24"/>
              </w:rPr>
              <w:t>33、色度均匀性</w:t>
            </w:r>
            <w:r>
              <w:rPr>
                <w:rFonts w:hint="eastAsia" w:ascii="宋体" w:hAnsi="宋体" w:eastAsia="宋体"/>
                <w:sz w:val="24"/>
                <w:szCs w:val="24"/>
              </w:rPr>
              <w:tab/>
            </w:r>
            <w:r>
              <w:rPr>
                <w:rFonts w:hint="eastAsia" w:ascii="宋体" w:hAnsi="宋体" w:eastAsia="宋体"/>
                <w:sz w:val="24"/>
                <w:szCs w:val="24"/>
              </w:rPr>
              <w:t>-0.003＜Cx＜0.003，-0.003＜Cy＜0.003（校正后）</w:t>
            </w:r>
          </w:p>
          <w:p>
            <w:pPr>
              <w:rPr>
                <w:rFonts w:ascii="宋体" w:hAnsi="宋体" w:eastAsia="宋体"/>
                <w:sz w:val="24"/>
                <w:szCs w:val="24"/>
              </w:rPr>
            </w:pPr>
            <w:r>
              <w:rPr>
                <w:rFonts w:hint="eastAsia" w:ascii="宋体" w:hAnsi="宋体" w:eastAsia="宋体"/>
                <w:sz w:val="24"/>
                <w:szCs w:val="24"/>
              </w:rPr>
              <w:t>34、反光率</w:t>
            </w:r>
            <w:r>
              <w:rPr>
                <w:rFonts w:hint="eastAsia" w:ascii="宋体" w:hAnsi="宋体" w:eastAsia="宋体"/>
                <w:sz w:val="24"/>
                <w:szCs w:val="24"/>
              </w:rPr>
              <w:tab/>
            </w:r>
            <w:r>
              <w:rPr>
                <w:rFonts w:hint="eastAsia" w:ascii="宋体" w:hAnsi="宋体" w:eastAsia="宋体"/>
                <w:sz w:val="24"/>
                <w:szCs w:val="24"/>
              </w:rPr>
              <w:tab/>
            </w:r>
            <w:r>
              <w:rPr>
                <w:rFonts w:hint="eastAsia" w:ascii="宋体" w:hAnsi="宋体" w:eastAsia="宋体"/>
                <w:sz w:val="24"/>
                <w:szCs w:val="24"/>
              </w:rPr>
              <w:t>≤1.5%</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35、画面延时</w:t>
            </w:r>
            <w:r>
              <w:rPr>
                <w:rFonts w:hint="eastAsia" w:ascii="宋体" w:hAnsi="宋体" w:eastAsia="宋体"/>
                <w:sz w:val="24"/>
                <w:szCs w:val="24"/>
              </w:rPr>
              <w:tab/>
            </w:r>
            <w:r>
              <w:rPr>
                <w:rFonts w:hint="eastAsia" w:ascii="宋体" w:hAnsi="宋体" w:eastAsia="宋体"/>
                <w:sz w:val="24"/>
                <w:szCs w:val="24"/>
              </w:rPr>
              <w:t>≤500ns</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36、衰减率</w:t>
            </w:r>
            <w:r>
              <w:rPr>
                <w:rFonts w:hint="eastAsia" w:ascii="宋体" w:hAnsi="宋体" w:eastAsia="宋体"/>
                <w:sz w:val="24"/>
                <w:szCs w:val="24"/>
              </w:rPr>
              <w:tab/>
            </w:r>
            <w:r>
              <w:rPr>
                <w:rFonts w:hint="eastAsia" w:ascii="宋体" w:hAnsi="宋体" w:eastAsia="宋体"/>
                <w:sz w:val="24"/>
                <w:szCs w:val="24"/>
              </w:rPr>
              <w:tab/>
            </w:r>
            <w:r>
              <w:rPr>
                <w:rFonts w:hint="eastAsia" w:ascii="宋体" w:hAnsi="宋体" w:eastAsia="宋体"/>
                <w:sz w:val="24"/>
                <w:szCs w:val="24"/>
              </w:rPr>
              <w:t>≤10%（工作3年）</w:t>
            </w:r>
          </w:p>
          <w:p>
            <w:pPr>
              <w:rPr>
                <w:rFonts w:ascii="宋体" w:hAnsi="宋体" w:eastAsia="宋体"/>
                <w:sz w:val="24"/>
                <w:szCs w:val="24"/>
              </w:rPr>
            </w:pPr>
            <w:r>
              <w:rPr>
                <w:rFonts w:hint="eastAsia" w:ascii="宋体" w:hAnsi="宋体" w:eastAsia="宋体"/>
                <w:sz w:val="24"/>
                <w:szCs w:val="24"/>
              </w:rPr>
              <w:t>37、防护性能</w:t>
            </w:r>
            <w:r>
              <w:rPr>
                <w:rFonts w:hint="eastAsia" w:ascii="宋体" w:hAnsi="宋体" w:eastAsia="宋体"/>
                <w:sz w:val="24"/>
                <w:szCs w:val="24"/>
              </w:rPr>
              <w:tab/>
            </w:r>
            <w:r>
              <w:rPr>
                <w:rFonts w:hint="eastAsia" w:ascii="宋体" w:hAnsi="宋体" w:eastAsia="宋体"/>
                <w:sz w:val="24"/>
                <w:szCs w:val="24"/>
              </w:rPr>
              <w:t>具有防静电、防电磁干扰、喷三防漆防潮、防腐蚀、防虫、抗震动、抗雷击等功能；具有电源过压、过流、断电保护、分布上电措施、防护等级达到IP50</w:t>
            </w:r>
          </w:p>
          <w:p>
            <w:pPr>
              <w:rPr>
                <w:rFonts w:ascii="宋体" w:hAnsi="宋体" w:eastAsia="宋体"/>
                <w:sz w:val="24"/>
                <w:szCs w:val="24"/>
              </w:rPr>
            </w:pPr>
            <w:r>
              <w:rPr>
                <w:rFonts w:hint="eastAsia" w:ascii="宋体" w:hAnsi="宋体" w:eastAsia="宋体"/>
                <w:sz w:val="24"/>
                <w:szCs w:val="24"/>
              </w:rPr>
              <w:t>38、连续工作时间   连续工作时间：≥7×24hrs，支持连续不间断显示</w:t>
            </w:r>
          </w:p>
          <w:p>
            <w:pPr>
              <w:rPr>
                <w:rFonts w:ascii="宋体" w:hAnsi="宋体" w:eastAsia="宋体"/>
                <w:sz w:val="24"/>
                <w:szCs w:val="24"/>
              </w:rPr>
            </w:pPr>
            <w:r>
              <w:rPr>
                <w:rFonts w:hint="eastAsia" w:ascii="宋体" w:hAnsi="宋体" w:eastAsia="宋体"/>
                <w:sz w:val="24"/>
                <w:szCs w:val="24"/>
              </w:rPr>
              <w:t>39、使用寿命</w:t>
            </w:r>
            <w:r>
              <w:rPr>
                <w:rFonts w:hint="eastAsia" w:ascii="宋体" w:hAnsi="宋体" w:eastAsia="宋体"/>
                <w:sz w:val="24"/>
                <w:szCs w:val="24"/>
              </w:rPr>
              <w:tab/>
            </w:r>
            <w:r>
              <w:rPr>
                <w:rFonts w:hint="eastAsia" w:ascii="宋体" w:hAnsi="宋体" w:eastAsia="宋体"/>
                <w:sz w:val="24"/>
                <w:szCs w:val="24"/>
              </w:rPr>
              <w:t>≥100000h</w:t>
            </w:r>
          </w:p>
          <w:p>
            <w:pPr>
              <w:rPr>
                <w:rFonts w:ascii="宋体" w:hAnsi="宋体" w:eastAsia="宋体"/>
                <w:sz w:val="24"/>
                <w:szCs w:val="24"/>
              </w:rPr>
            </w:pPr>
            <w:r>
              <w:rPr>
                <w:rFonts w:hint="eastAsia" w:ascii="宋体" w:hAnsi="宋体" w:eastAsia="宋体"/>
                <w:sz w:val="24"/>
                <w:szCs w:val="24"/>
              </w:rPr>
              <w:t>★40、平均无故障时间</w:t>
            </w:r>
            <w:r>
              <w:rPr>
                <w:rFonts w:hint="eastAsia" w:ascii="宋体" w:hAnsi="宋体" w:eastAsia="宋体"/>
                <w:sz w:val="24"/>
                <w:szCs w:val="24"/>
              </w:rPr>
              <w:tab/>
            </w:r>
            <w:r>
              <w:rPr>
                <w:rFonts w:hint="eastAsia" w:ascii="宋体" w:hAnsi="宋体" w:eastAsia="宋体"/>
                <w:sz w:val="24"/>
                <w:szCs w:val="24"/>
              </w:rPr>
              <w:t>MTBF平均无故障时间≥20000h；MTTR平均修复时间≤20分钟</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41、屏幕温升</w:t>
            </w:r>
            <w:r>
              <w:rPr>
                <w:rFonts w:hint="eastAsia" w:ascii="宋体" w:hAnsi="宋体" w:eastAsia="宋体"/>
                <w:sz w:val="24"/>
                <w:szCs w:val="24"/>
              </w:rPr>
              <w:tab/>
            </w:r>
            <w:r>
              <w:rPr>
                <w:rFonts w:hint="eastAsia" w:ascii="宋体" w:hAnsi="宋体" w:eastAsia="宋体"/>
                <w:sz w:val="24"/>
                <w:szCs w:val="24"/>
              </w:rPr>
              <w:t>最高亮度（白平衡）持续工作4小时，模组表面温升小于20K。</w:t>
            </w:r>
          </w:p>
          <w:p>
            <w:pPr>
              <w:rPr>
                <w:rFonts w:ascii="宋体" w:hAnsi="宋体" w:eastAsia="宋体"/>
                <w:sz w:val="24"/>
                <w:szCs w:val="24"/>
              </w:rPr>
            </w:pPr>
            <w:r>
              <w:rPr>
                <w:rFonts w:hint="eastAsia" w:ascii="宋体" w:hAnsi="宋体" w:eastAsia="宋体"/>
                <w:sz w:val="24"/>
                <w:szCs w:val="24"/>
              </w:rPr>
              <w:t>42、高温负荷工作</w:t>
            </w:r>
            <w:r>
              <w:rPr>
                <w:rFonts w:hint="eastAsia" w:ascii="宋体" w:hAnsi="宋体" w:eastAsia="宋体"/>
                <w:sz w:val="24"/>
                <w:szCs w:val="24"/>
              </w:rPr>
              <w:tab/>
            </w:r>
            <w:r>
              <w:rPr>
                <w:rFonts w:hint="eastAsia" w:ascii="宋体" w:hAnsi="宋体" w:eastAsia="宋体"/>
                <w:sz w:val="24"/>
                <w:szCs w:val="24"/>
              </w:rPr>
              <w:t>样品状态：通电工作,试验温度：80℃,试验时间：12h;试验结束后，产品正常工作</w:t>
            </w:r>
          </w:p>
          <w:p>
            <w:pPr>
              <w:rPr>
                <w:rFonts w:ascii="宋体" w:hAnsi="宋体" w:eastAsia="宋体"/>
                <w:sz w:val="24"/>
                <w:szCs w:val="24"/>
              </w:rPr>
            </w:pPr>
            <w:r>
              <w:rPr>
                <w:rFonts w:hint="eastAsia" w:ascii="宋体" w:hAnsi="宋体" w:eastAsia="宋体"/>
                <w:sz w:val="24"/>
                <w:szCs w:val="24"/>
              </w:rPr>
              <w:t>43、湿热负载</w:t>
            </w:r>
            <w:r>
              <w:rPr>
                <w:rFonts w:hint="eastAsia" w:ascii="宋体" w:hAnsi="宋体" w:eastAsia="宋体"/>
                <w:sz w:val="24"/>
                <w:szCs w:val="24"/>
              </w:rPr>
              <w:tab/>
            </w:r>
            <w:r>
              <w:rPr>
                <w:rFonts w:hint="eastAsia" w:ascii="宋体" w:hAnsi="宋体" w:eastAsia="宋体"/>
                <w:sz w:val="24"/>
                <w:szCs w:val="24"/>
              </w:rPr>
              <w:t>LED显示屏最高工作环境温度下，相对湿度87%-93%，通电工作12h;试验结束后，产品正常工作</w:t>
            </w:r>
          </w:p>
          <w:p>
            <w:pPr>
              <w:rPr>
                <w:rFonts w:ascii="宋体" w:hAnsi="宋体" w:eastAsia="宋体"/>
                <w:sz w:val="24"/>
                <w:szCs w:val="24"/>
              </w:rPr>
            </w:pPr>
            <w:r>
              <w:rPr>
                <w:rFonts w:hint="eastAsia" w:ascii="宋体" w:hAnsi="宋体" w:eastAsia="宋体"/>
                <w:sz w:val="24"/>
                <w:szCs w:val="24"/>
              </w:rPr>
              <w:t>44、光生物安全检测</w:t>
            </w:r>
            <w:r>
              <w:rPr>
                <w:rFonts w:hint="eastAsia" w:ascii="宋体" w:hAnsi="宋体" w:eastAsia="宋体"/>
                <w:sz w:val="24"/>
                <w:szCs w:val="24"/>
              </w:rPr>
              <w:tab/>
            </w:r>
            <w:r>
              <w:rPr>
                <w:rFonts w:hint="eastAsia" w:ascii="宋体" w:hAnsi="宋体" w:eastAsia="宋体"/>
                <w:sz w:val="24"/>
                <w:szCs w:val="24"/>
              </w:rPr>
              <w:t>无危害类：8h（30000s）曝辐中不造成光化学紫外危害（ES），并在16min（1000s）内不造成近紫外危害（EUVA），并在2.8h（10000s）内不造成对视网膜蓝光危害（LB）并在10s内不造成对视网膜热危害（LR），且在1000s内不造成对眼睛的红外辐射危害（EIR）</w:t>
            </w:r>
          </w:p>
          <w:p>
            <w:pPr>
              <w:rPr>
                <w:rFonts w:ascii="宋体" w:hAnsi="宋体" w:eastAsia="宋体"/>
                <w:sz w:val="24"/>
                <w:szCs w:val="24"/>
              </w:rPr>
            </w:pPr>
            <w:r>
              <w:rPr>
                <w:rFonts w:hint="eastAsia" w:ascii="宋体" w:hAnsi="宋体" w:eastAsia="宋体"/>
                <w:sz w:val="24"/>
                <w:szCs w:val="24"/>
              </w:rPr>
              <w:t>45、盐雾等级</w:t>
            </w:r>
            <w:r>
              <w:rPr>
                <w:rFonts w:hint="eastAsia" w:ascii="宋体" w:hAnsi="宋体" w:eastAsia="宋体"/>
                <w:sz w:val="24"/>
                <w:szCs w:val="24"/>
              </w:rPr>
              <w:tab/>
            </w:r>
            <w:r>
              <w:rPr>
                <w:rFonts w:hint="eastAsia" w:ascii="宋体" w:hAnsi="宋体" w:eastAsia="宋体"/>
                <w:sz w:val="24"/>
                <w:szCs w:val="24"/>
              </w:rPr>
              <w:t>达到盐雾10级</w:t>
            </w:r>
          </w:p>
          <w:p>
            <w:pPr>
              <w:rPr>
                <w:rFonts w:ascii="宋体" w:hAnsi="宋体" w:eastAsia="宋体"/>
                <w:sz w:val="24"/>
                <w:szCs w:val="24"/>
              </w:rPr>
            </w:pPr>
            <w:r>
              <w:rPr>
                <w:rFonts w:hint="eastAsia" w:ascii="宋体" w:hAnsi="宋体" w:eastAsia="宋体"/>
                <w:sz w:val="24"/>
                <w:szCs w:val="24"/>
              </w:rPr>
              <w:t>46、阻燃</w:t>
            </w:r>
            <w:r>
              <w:rPr>
                <w:rFonts w:hint="eastAsia" w:ascii="宋体" w:hAnsi="宋体" w:eastAsia="宋体"/>
                <w:sz w:val="24"/>
                <w:szCs w:val="24"/>
              </w:rPr>
              <w:tab/>
            </w:r>
            <w:r>
              <w:rPr>
                <w:rFonts w:hint="eastAsia" w:ascii="宋体" w:hAnsi="宋体" w:eastAsia="宋体"/>
                <w:sz w:val="24"/>
                <w:szCs w:val="24"/>
              </w:rPr>
              <w:t>PCB板、防火保护外壳达到V-0等级</w:t>
            </w:r>
          </w:p>
          <w:p>
            <w:pPr>
              <w:rPr>
                <w:rFonts w:ascii="宋体" w:hAnsi="宋体" w:eastAsia="宋体"/>
                <w:sz w:val="24"/>
                <w:szCs w:val="24"/>
              </w:rPr>
            </w:pPr>
            <w:r>
              <w:rPr>
                <w:rFonts w:hint="eastAsia" w:ascii="宋体" w:hAnsi="宋体" w:eastAsia="宋体"/>
                <w:sz w:val="24"/>
                <w:szCs w:val="24"/>
              </w:rPr>
              <w:t>47、PCB板材</w:t>
            </w:r>
            <w:r>
              <w:rPr>
                <w:rFonts w:hint="eastAsia" w:ascii="宋体" w:hAnsi="宋体" w:eastAsia="宋体"/>
                <w:sz w:val="24"/>
                <w:szCs w:val="24"/>
              </w:rPr>
              <w:tab/>
            </w:r>
            <w:r>
              <w:rPr>
                <w:rFonts w:hint="eastAsia" w:ascii="宋体" w:hAnsi="宋体" w:eastAsia="宋体"/>
                <w:sz w:val="24"/>
                <w:szCs w:val="24"/>
              </w:rPr>
              <w:t>采用玻璃化温度≥150℃的覆铜板。</w:t>
            </w:r>
          </w:p>
          <w:p>
            <w:pPr>
              <w:rPr>
                <w:rFonts w:ascii="宋体" w:hAnsi="宋体" w:eastAsia="宋体"/>
                <w:sz w:val="24"/>
                <w:szCs w:val="24"/>
              </w:rPr>
            </w:pPr>
            <w:r>
              <w:rPr>
                <w:rFonts w:hint="eastAsia" w:ascii="宋体" w:hAnsi="宋体" w:eastAsia="宋体"/>
                <w:sz w:val="24"/>
                <w:szCs w:val="24"/>
              </w:rPr>
              <w:t>48、能耗对比</w:t>
            </w:r>
            <w:r>
              <w:rPr>
                <w:rFonts w:hint="eastAsia" w:ascii="宋体" w:hAnsi="宋体" w:eastAsia="宋体"/>
                <w:sz w:val="24"/>
                <w:szCs w:val="24"/>
              </w:rPr>
              <w:tab/>
            </w:r>
            <w:r>
              <w:rPr>
                <w:rFonts w:hint="eastAsia" w:ascii="宋体" w:hAnsi="宋体" w:eastAsia="宋体"/>
                <w:sz w:val="24"/>
                <w:szCs w:val="24"/>
              </w:rPr>
              <w:t>对LED显示屏进行节能对比，达到能效一级标准</w:t>
            </w:r>
          </w:p>
          <w:p>
            <w:pPr>
              <w:rPr>
                <w:rFonts w:ascii="宋体" w:hAnsi="宋体" w:eastAsia="宋体"/>
                <w:sz w:val="24"/>
                <w:szCs w:val="24"/>
              </w:rPr>
            </w:pPr>
            <w:r>
              <w:rPr>
                <w:rFonts w:hint="eastAsia" w:ascii="宋体" w:hAnsi="宋体" w:eastAsia="宋体"/>
                <w:sz w:val="24"/>
                <w:szCs w:val="24"/>
              </w:rPr>
              <w:t>★49、电磁兼容/干扰</w:t>
            </w:r>
            <w:r>
              <w:rPr>
                <w:rFonts w:hint="eastAsia" w:ascii="宋体" w:hAnsi="宋体" w:eastAsia="宋体"/>
                <w:sz w:val="24"/>
                <w:szCs w:val="24"/>
              </w:rPr>
              <w:tab/>
            </w:r>
            <w:r>
              <w:rPr>
                <w:rFonts w:hint="eastAsia" w:ascii="宋体" w:hAnsi="宋体" w:eastAsia="宋体"/>
                <w:sz w:val="24"/>
                <w:szCs w:val="24"/>
              </w:rPr>
              <w:t>符合Class B标准</w:t>
            </w:r>
          </w:p>
          <w:p>
            <w:pPr>
              <w:rPr>
                <w:rFonts w:ascii="宋体" w:hAnsi="宋体" w:eastAsia="宋体"/>
                <w:sz w:val="24"/>
                <w:szCs w:val="24"/>
              </w:rPr>
            </w:pPr>
            <w:r>
              <w:rPr>
                <w:rFonts w:hint="eastAsia" w:ascii="宋体" w:hAnsi="宋体" w:eastAsia="宋体"/>
                <w:sz w:val="24"/>
                <w:szCs w:val="24"/>
              </w:rPr>
              <w:t>50、抗紫外线UV检测合格</w:t>
            </w:r>
          </w:p>
          <w:p>
            <w:pPr>
              <w:rPr>
                <w:rFonts w:ascii="宋体" w:hAnsi="宋体" w:eastAsia="宋体"/>
                <w:sz w:val="24"/>
                <w:szCs w:val="24"/>
              </w:rPr>
            </w:pPr>
            <w:r>
              <w:rPr>
                <w:rFonts w:hint="eastAsia" w:ascii="宋体" w:hAnsi="宋体" w:eastAsia="宋体"/>
                <w:sz w:val="24"/>
                <w:szCs w:val="24"/>
              </w:rPr>
              <w:t>★51、抗干扰</w:t>
            </w:r>
            <w:r>
              <w:rPr>
                <w:rFonts w:hint="eastAsia" w:ascii="宋体" w:hAnsi="宋体" w:eastAsia="宋体"/>
                <w:sz w:val="24"/>
                <w:szCs w:val="24"/>
              </w:rPr>
              <w:tab/>
            </w:r>
            <w:r>
              <w:rPr>
                <w:rFonts w:hint="eastAsia" w:ascii="宋体" w:hAnsi="宋体" w:eastAsia="宋体"/>
                <w:sz w:val="24"/>
                <w:szCs w:val="24"/>
              </w:rPr>
              <w:t>符合IEC801规定</w:t>
            </w:r>
            <w:r>
              <w:rPr>
                <w:rFonts w:hint="eastAsia" w:ascii="宋体" w:hAnsi="宋体" w:eastAsia="宋体"/>
                <w:sz w:val="24"/>
                <w:szCs w:val="24"/>
              </w:rPr>
              <w:tab/>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★52、一键点屏</w:t>
            </w:r>
            <w:r>
              <w:rPr>
                <w:rFonts w:hint="eastAsia" w:ascii="宋体" w:hAnsi="宋体" w:eastAsia="宋体"/>
                <w:sz w:val="24"/>
                <w:szCs w:val="24"/>
              </w:rPr>
              <w:tab/>
            </w:r>
            <w:r>
              <w:rPr>
                <w:rFonts w:hint="eastAsia" w:ascii="宋体" w:hAnsi="宋体" w:eastAsia="宋体"/>
                <w:sz w:val="24"/>
                <w:szCs w:val="24"/>
              </w:rPr>
              <w:t>支持一键点屏技术，开机后自动识别系统连接，无需重置系统配置</w:t>
            </w:r>
          </w:p>
          <w:p>
            <w:pPr>
              <w:rPr>
                <w:rStyle w:val="10"/>
                <w:rFonts w:ascii="宋体" w:hAnsi="宋体" w:eastAsia="宋体"/>
                <w:sz w:val="24"/>
                <w:szCs w:val="24"/>
              </w:rPr>
            </w:pPr>
            <w:r>
              <w:rPr>
                <w:rFonts w:hint="eastAsia" w:ascii="宋体" w:hAnsi="宋体" w:eastAsia="宋体"/>
                <w:sz w:val="24"/>
                <w:szCs w:val="24"/>
              </w:rPr>
              <w:t>53、SELV电路</w:t>
            </w:r>
            <w:r>
              <w:rPr>
                <w:rFonts w:hint="eastAsia" w:ascii="宋体" w:hAnsi="宋体" w:eastAsia="宋体"/>
                <w:sz w:val="24"/>
                <w:szCs w:val="24"/>
              </w:rPr>
              <w:tab/>
            </w:r>
            <w:r>
              <w:rPr>
                <w:rFonts w:hint="eastAsia" w:ascii="宋体" w:hAnsi="宋体" w:eastAsia="宋体"/>
                <w:sz w:val="24"/>
                <w:szCs w:val="24"/>
              </w:rPr>
              <w:t>具备SELV电路</w:t>
            </w:r>
            <w:r>
              <w:rPr>
                <w:rFonts w:hint="eastAsia" w:ascii="宋体" w:hAnsi="宋体" w:eastAsia="宋体"/>
                <w:sz w:val="24"/>
                <w:szCs w:val="24"/>
              </w:rPr>
              <w:tab/>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20.5</w:t>
            </w:r>
            <w:r>
              <w:rPr>
                <w:rStyle w:val="10"/>
                <w:rFonts w:ascii="宋体" w:hAnsi="宋体" w:eastAsia="宋体"/>
                <w:kern w:val="0"/>
                <w:sz w:val="24"/>
                <w:szCs w:val="24"/>
              </w:rPr>
              <w:t>㎡</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6600</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135300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9" w:hRule="atLeast"/>
          <w:jc w:val="center"/>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sz w:val="24"/>
                <w:szCs w:val="24"/>
              </w:rPr>
            </w:pPr>
            <w:r>
              <w:rPr>
                <w:rFonts w:ascii="宋体" w:hAnsi="宋体" w:eastAsia="宋体" w:cs="宋体"/>
                <w:sz w:val="24"/>
                <w:szCs w:val="24"/>
              </w:rPr>
              <w:t>控制系统</w:t>
            </w:r>
          </w:p>
        </w:tc>
        <w:tc>
          <w:tcPr>
            <w:tcW w:w="4720" w:type="dxa"/>
            <w:tcBorders>
              <w:top w:val="single" w:color="000000" w:sz="4" w:space="0"/>
              <w:left w:val="single" w:color="000000" w:sz="4" w:space="0"/>
              <w:bottom w:val="single" w:color="000000" w:sz="4" w:space="0"/>
              <w:right w:val="single" w:color="000000" w:sz="4" w:space="0"/>
            </w:tcBorders>
            <w:noWrap w:val="0"/>
            <w:vAlign w:val="center"/>
          </w:tcPr>
          <w:p>
            <w:pPr>
              <w:pStyle w:val="11"/>
              <w:numPr>
                <w:ilvl w:val="0"/>
                <w:numId w:val="2"/>
              </w:numPr>
              <w:spacing w:after="0"/>
              <w:ind w:firstLineChars="0"/>
              <w:rPr>
                <w:rFonts w:ascii="宋体" w:hAnsi="宋体" w:eastAsia="宋体"/>
                <w:sz w:val="24"/>
                <w:szCs w:val="24"/>
              </w:rPr>
            </w:pPr>
            <w:r>
              <w:rPr>
                <w:rFonts w:hint="eastAsia" w:ascii="宋体" w:hAnsi="宋体" w:eastAsia="宋体"/>
                <w:sz w:val="24"/>
                <w:szCs w:val="24"/>
              </w:rPr>
              <w:t>集成HUB75，无需再配转接板；</w:t>
            </w:r>
          </w:p>
          <w:p>
            <w:pPr>
              <w:pStyle w:val="11"/>
              <w:numPr>
                <w:ilvl w:val="0"/>
                <w:numId w:val="2"/>
              </w:numPr>
              <w:spacing w:after="0"/>
              <w:ind w:firstLineChars="0"/>
              <w:rPr>
                <w:rFonts w:ascii="宋体" w:hAnsi="宋体" w:eastAsia="宋体"/>
                <w:sz w:val="24"/>
                <w:szCs w:val="24"/>
              </w:rPr>
            </w:pPr>
            <w:r>
              <w:rPr>
                <w:rFonts w:hint="eastAsia" w:ascii="宋体" w:hAnsi="宋体" w:eastAsia="宋体"/>
                <w:sz w:val="24"/>
                <w:szCs w:val="24"/>
              </w:rPr>
              <w:t>支持常规芯片实现高刷新、高灰度、高亮度；</w:t>
            </w:r>
          </w:p>
          <w:p>
            <w:pPr>
              <w:pStyle w:val="11"/>
              <w:numPr>
                <w:ilvl w:val="0"/>
                <w:numId w:val="2"/>
              </w:numPr>
              <w:spacing w:after="0"/>
              <w:ind w:firstLineChars="0"/>
              <w:rPr>
                <w:rFonts w:ascii="宋体" w:hAnsi="宋体" w:eastAsia="宋体"/>
                <w:sz w:val="24"/>
                <w:szCs w:val="24"/>
              </w:rPr>
            </w:pPr>
            <w:r>
              <w:rPr>
                <w:rFonts w:hint="eastAsia" w:ascii="宋体" w:hAnsi="宋体" w:eastAsia="宋体"/>
                <w:sz w:val="24"/>
                <w:szCs w:val="24"/>
              </w:rPr>
              <w:t>可消除单元板设计引起的某行偏暗、低灰偏红、鬼影等细节问题；</w:t>
            </w:r>
          </w:p>
          <w:p>
            <w:pPr>
              <w:pStyle w:val="11"/>
              <w:numPr>
                <w:ilvl w:val="0"/>
                <w:numId w:val="2"/>
              </w:numPr>
              <w:spacing w:after="0"/>
              <w:ind w:firstLineChars="0"/>
              <w:rPr>
                <w:rFonts w:ascii="宋体" w:hAnsi="宋体" w:eastAsia="宋体"/>
                <w:sz w:val="24"/>
                <w:szCs w:val="24"/>
              </w:rPr>
            </w:pPr>
            <w:r>
              <w:rPr>
                <w:rFonts w:hint="eastAsia" w:ascii="宋体" w:hAnsi="宋体" w:eastAsia="宋体"/>
                <w:sz w:val="24"/>
                <w:szCs w:val="24"/>
              </w:rPr>
              <w:t>支持14bit精度逐点校正；</w:t>
            </w:r>
          </w:p>
          <w:p>
            <w:pPr>
              <w:pStyle w:val="11"/>
              <w:numPr>
                <w:ilvl w:val="0"/>
                <w:numId w:val="2"/>
              </w:numPr>
              <w:spacing w:after="0"/>
              <w:ind w:firstLineChars="0"/>
              <w:rPr>
                <w:rFonts w:ascii="宋体" w:hAnsi="宋体" w:eastAsia="宋体"/>
                <w:sz w:val="24"/>
                <w:szCs w:val="24"/>
              </w:rPr>
            </w:pPr>
            <w:r>
              <w:rPr>
                <w:rFonts w:hint="eastAsia" w:ascii="宋体" w:hAnsi="宋体" w:eastAsia="宋体"/>
                <w:sz w:val="24"/>
                <w:szCs w:val="24"/>
              </w:rPr>
              <w:t>支持所有常规芯片、PWM芯片和灯饰芯片；</w:t>
            </w:r>
          </w:p>
          <w:p>
            <w:pPr>
              <w:pStyle w:val="11"/>
              <w:numPr>
                <w:ilvl w:val="0"/>
                <w:numId w:val="2"/>
              </w:numPr>
              <w:spacing w:after="0"/>
              <w:ind w:firstLineChars="0"/>
              <w:rPr>
                <w:rFonts w:ascii="宋体" w:hAnsi="宋体" w:eastAsia="宋体"/>
                <w:sz w:val="24"/>
                <w:szCs w:val="24"/>
              </w:rPr>
            </w:pPr>
            <w:r>
              <w:rPr>
                <w:rFonts w:hint="eastAsia" w:ascii="宋体" w:hAnsi="宋体" w:eastAsia="宋体"/>
                <w:sz w:val="24"/>
                <w:szCs w:val="24"/>
              </w:rPr>
              <w:t>支持静态屏、1/2~1/32扫之间的任意扫描类型；</w:t>
            </w:r>
          </w:p>
          <w:p>
            <w:pPr>
              <w:pStyle w:val="11"/>
              <w:numPr>
                <w:ilvl w:val="0"/>
                <w:numId w:val="2"/>
              </w:numPr>
              <w:spacing w:after="0"/>
              <w:ind w:firstLineChars="0"/>
              <w:rPr>
                <w:rFonts w:ascii="宋体" w:hAnsi="宋体" w:eastAsia="宋体"/>
                <w:sz w:val="24"/>
                <w:szCs w:val="24"/>
              </w:rPr>
            </w:pPr>
            <w:r>
              <w:rPr>
                <w:rFonts w:hint="eastAsia" w:ascii="宋体" w:hAnsi="宋体" w:eastAsia="宋体"/>
                <w:sz w:val="24"/>
                <w:szCs w:val="24"/>
              </w:rPr>
              <w:t>支持任意抽点，支持数据偏移，可轻松实现各种异型屏、球形屏、创意显示屏；</w:t>
            </w:r>
          </w:p>
          <w:p>
            <w:pPr>
              <w:pStyle w:val="11"/>
              <w:numPr>
                <w:ilvl w:val="0"/>
                <w:numId w:val="2"/>
              </w:numPr>
              <w:spacing w:after="0"/>
              <w:ind w:firstLineChars="0"/>
              <w:rPr>
                <w:rFonts w:ascii="宋体" w:hAnsi="宋体" w:eastAsia="宋体"/>
                <w:sz w:val="24"/>
                <w:szCs w:val="24"/>
              </w:rPr>
            </w:pPr>
            <w:r>
              <w:rPr>
                <w:rFonts w:hint="eastAsia" w:ascii="宋体" w:hAnsi="宋体" w:eastAsia="宋体"/>
                <w:sz w:val="24"/>
                <w:szCs w:val="24"/>
              </w:rPr>
              <w:t>单卡支持32组RGB信号输出；</w:t>
            </w:r>
          </w:p>
          <w:p>
            <w:pPr>
              <w:pStyle w:val="11"/>
              <w:numPr>
                <w:ilvl w:val="0"/>
                <w:numId w:val="2"/>
              </w:numPr>
              <w:spacing w:after="0"/>
              <w:ind w:firstLineChars="0"/>
              <w:rPr>
                <w:rFonts w:ascii="宋体" w:hAnsi="宋体" w:eastAsia="宋体"/>
                <w:sz w:val="24"/>
                <w:szCs w:val="24"/>
              </w:rPr>
            </w:pPr>
            <w:r>
              <w:rPr>
                <w:rFonts w:hint="eastAsia" w:ascii="宋体" w:hAnsi="宋体" w:eastAsia="宋体"/>
                <w:sz w:val="24"/>
                <w:szCs w:val="24"/>
              </w:rPr>
              <w:t>支持超大带载面积,单卡带载128*1024，256*512；</w:t>
            </w:r>
          </w:p>
          <w:p>
            <w:pPr>
              <w:pStyle w:val="11"/>
              <w:numPr>
                <w:ilvl w:val="0"/>
                <w:numId w:val="2"/>
              </w:numPr>
              <w:spacing w:after="0"/>
              <w:ind w:firstLineChars="0"/>
              <w:rPr>
                <w:rFonts w:ascii="宋体" w:hAnsi="宋体" w:eastAsia="宋体"/>
                <w:sz w:val="24"/>
                <w:szCs w:val="24"/>
              </w:rPr>
            </w:pPr>
            <w:r>
              <w:rPr>
                <w:rFonts w:hint="eastAsia" w:ascii="宋体" w:hAnsi="宋体" w:eastAsia="宋体"/>
                <w:sz w:val="24"/>
                <w:szCs w:val="24"/>
              </w:rPr>
              <w:t>先进设计，优质元器件，全自动高低温老化测试，零故障出厂；</w:t>
            </w:r>
          </w:p>
          <w:p>
            <w:pPr>
              <w:pStyle w:val="11"/>
              <w:numPr>
                <w:ilvl w:val="0"/>
                <w:numId w:val="2"/>
              </w:numPr>
              <w:spacing w:after="0"/>
              <w:ind w:firstLineChars="0"/>
              <w:rPr>
                <w:rFonts w:ascii="宋体" w:hAnsi="宋体" w:eastAsia="宋体" w:cs="宋体"/>
                <w:sz w:val="24"/>
                <w:szCs w:val="24"/>
              </w:rPr>
            </w:pPr>
            <w:r>
              <w:rPr>
                <w:rFonts w:hint="eastAsia" w:ascii="宋体" w:hAnsi="宋体" w:eastAsia="宋体"/>
                <w:sz w:val="24"/>
                <w:szCs w:val="24"/>
              </w:rPr>
              <w:t>支持DC 3.3V~6V超宽工作电压，有效减弱电压波动带来的影响；</w:t>
            </w:r>
          </w:p>
          <w:p>
            <w:pPr>
              <w:pStyle w:val="11"/>
              <w:numPr>
                <w:ilvl w:val="0"/>
                <w:numId w:val="2"/>
              </w:numPr>
              <w:spacing w:after="0"/>
              <w:ind w:firstLineChars="0"/>
              <w:rPr>
                <w:rFonts w:ascii="宋体" w:hAnsi="宋体" w:eastAsia="宋体" w:cs="宋体"/>
                <w:sz w:val="24"/>
                <w:szCs w:val="24"/>
              </w:rPr>
            </w:pPr>
            <w:r>
              <w:rPr>
                <w:rFonts w:hint="eastAsia" w:ascii="宋体" w:hAnsi="宋体" w:eastAsia="宋体"/>
                <w:sz w:val="24"/>
                <w:szCs w:val="24"/>
              </w:rPr>
              <w:t>★</w:t>
            </w:r>
            <w:r>
              <w:rPr>
                <w:rFonts w:hint="eastAsia" w:ascii="宋体" w:hAnsi="宋体" w:eastAsia="宋体" w:cs="宋体"/>
                <w:sz w:val="24"/>
                <w:szCs w:val="24"/>
              </w:rPr>
              <w:t>为确保系统参数的快速恢复与准确性，控制系统大屏参数可支持云端备份与恢复，并提供云端LED显示屏备份与恢复系统著作。</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1</w:t>
            </w:r>
            <w:r>
              <w:rPr>
                <w:rStyle w:val="10"/>
                <w:rFonts w:ascii="宋体" w:hAnsi="宋体" w:eastAsia="宋体"/>
                <w:kern w:val="0"/>
                <w:sz w:val="24"/>
                <w:szCs w:val="24"/>
              </w:rPr>
              <w:t>套</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7500</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rPr>
                <w:rStyle w:val="10"/>
                <w:rFonts w:ascii="宋体" w:hAnsi="宋体" w:eastAsia="宋体"/>
                <w:kern w:val="0"/>
                <w:sz w:val="24"/>
                <w:szCs w:val="24"/>
              </w:rPr>
            </w:pPr>
            <w:r>
              <w:rPr>
                <w:rStyle w:val="10"/>
                <w:rFonts w:hint="eastAsia" w:ascii="宋体" w:hAnsi="宋体" w:eastAsia="宋体"/>
                <w:kern w:val="0"/>
                <w:sz w:val="24"/>
                <w:szCs w:val="24"/>
              </w:rPr>
              <w:t>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pStyle w:val="9"/>
              <w:spacing w:line="320" w:lineRule="exact"/>
              <w:rPr>
                <w:rFonts w:ascii="宋体" w:hAnsi="宋体" w:eastAsia="宋体" w:cs="宋体"/>
                <w:kern w:val="2"/>
                <w:sz w:val="24"/>
                <w:szCs w:val="24"/>
              </w:rPr>
            </w:pPr>
            <w:r>
              <w:rPr>
                <w:rFonts w:ascii="宋体" w:hAnsi="宋体" w:eastAsia="宋体" w:cs="宋体"/>
                <w:kern w:val="2"/>
                <w:sz w:val="24"/>
                <w:szCs w:val="24"/>
              </w:rPr>
              <w:t>视频</w:t>
            </w:r>
            <w:r>
              <w:rPr>
                <w:rFonts w:hint="eastAsia" w:ascii="宋体" w:hAnsi="宋体" w:eastAsia="宋体" w:cs="宋体"/>
                <w:kern w:val="2"/>
                <w:sz w:val="24"/>
                <w:szCs w:val="24"/>
              </w:rPr>
              <w:t>处理</w:t>
            </w:r>
            <w:r>
              <w:rPr>
                <w:rFonts w:ascii="宋体" w:hAnsi="宋体" w:eastAsia="宋体" w:cs="宋体"/>
                <w:kern w:val="2"/>
                <w:sz w:val="24"/>
                <w:szCs w:val="24"/>
              </w:rPr>
              <w:t>器</w:t>
            </w:r>
          </w:p>
        </w:tc>
        <w:tc>
          <w:tcPr>
            <w:tcW w:w="4720" w:type="dxa"/>
            <w:tcBorders>
              <w:top w:val="single" w:color="000000" w:sz="4" w:space="0"/>
              <w:left w:val="single" w:color="000000" w:sz="4" w:space="0"/>
              <w:bottom w:val="single" w:color="000000" w:sz="4" w:space="0"/>
              <w:right w:val="single" w:color="000000" w:sz="4" w:space="0"/>
            </w:tcBorders>
            <w:noWrap w:val="0"/>
            <w:vAlign w:val="center"/>
          </w:tcPr>
          <w:p>
            <w:pPr>
              <w:pStyle w:val="11"/>
              <w:numPr>
                <w:ilvl w:val="0"/>
                <w:numId w:val="3"/>
              </w:numPr>
              <w:spacing w:after="0"/>
              <w:ind w:firstLineChars="0"/>
              <w:rPr>
                <w:rFonts w:ascii="宋体" w:hAnsi="宋体" w:eastAsia="宋体"/>
                <w:sz w:val="24"/>
                <w:szCs w:val="24"/>
              </w:rPr>
            </w:pPr>
            <w:r>
              <w:rPr>
                <w:rFonts w:hint="eastAsia" w:ascii="宋体" w:hAnsi="宋体" w:eastAsia="宋体"/>
                <w:sz w:val="24"/>
                <w:szCs w:val="24"/>
              </w:rPr>
              <w:t>专业级LED显示屏控制设备，具备强大的视频信号接收和处理能力，最大可接收1920×1200像素的高清数字信号；支持HDMI和DVI高清数字接口，多路信号间无缝切换；支持视频源任意缩放和裁剪。具备8个千兆网口输出，单机可支持最宽8192像素或最高4096像素的LED显示屏，提供灵活的屏幕控制和高品质的图像显示。</w:t>
            </w:r>
          </w:p>
          <w:p>
            <w:pPr>
              <w:pStyle w:val="11"/>
              <w:numPr>
                <w:ilvl w:val="0"/>
                <w:numId w:val="3"/>
              </w:numPr>
              <w:spacing w:after="0"/>
              <w:ind w:firstLineChars="0"/>
              <w:rPr>
                <w:rFonts w:ascii="宋体" w:hAnsi="宋体" w:eastAsia="宋体"/>
                <w:sz w:val="24"/>
                <w:szCs w:val="24"/>
              </w:rPr>
            </w:pPr>
            <w:r>
              <w:rPr>
                <w:rFonts w:hint="eastAsia" w:ascii="宋体" w:hAnsi="宋体" w:eastAsia="宋体"/>
                <w:sz w:val="24"/>
                <w:szCs w:val="24"/>
              </w:rPr>
              <w:t>具有2类视频输入接口，包括1路HDMI和2路DVI；</w:t>
            </w:r>
          </w:p>
          <w:p>
            <w:pPr>
              <w:pStyle w:val="11"/>
              <w:numPr>
                <w:ilvl w:val="0"/>
                <w:numId w:val="3"/>
              </w:numPr>
              <w:spacing w:after="0"/>
              <w:ind w:firstLineChars="0"/>
              <w:rPr>
                <w:rFonts w:ascii="宋体" w:hAnsi="宋体" w:eastAsia="宋体"/>
                <w:sz w:val="24"/>
                <w:szCs w:val="24"/>
              </w:rPr>
            </w:pPr>
            <w:r>
              <w:rPr>
                <w:rFonts w:hint="eastAsia" w:ascii="宋体" w:hAnsi="宋体" w:eastAsia="宋体"/>
                <w:sz w:val="24"/>
                <w:szCs w:val="24"/>
              </w:rPr>
              <w:t>最大输入分辨率1920×1200@60Hz，支持分辨率任意设置；</w:t>
            </w:r>
          </w:p>
          <w:p>
            <w:pPr>
              <w:pStyle w:val="11"/>
              <w:numPr>
                <w:ilvl w:val="0"/>
                <w:numId w:val="3"/>
              </w:numPr>
              <w:spacing w:after="0"/>
              <w:ind w:firstLineChars="0"/>
              <w:rPr>
                <w:rFonts w:ascii="宋体" w:hAnsi="宋体" w:eastAsia="宋体"/>
                <w:sz w:val="24"/>
                <w:szCs w:val="24"/>
              </w:rPr>
            </w:pPr>
            <w:r>
              <w:rPr>
                <w:rFonts w:hint="eastAsia" w:ascii="宋体" w:hAnsi="宋体" w:eastAsia="宋体"/>
                <w:sz w:val="24"/>
                <w:szCs w:val="24"/>
              </w:rPr>
              <w:t>最大带载520万像素，最宽可达8192点，或最高可达4096点；</w:t>
            </w:r>
          </w:p>
          <w:p>
            <w:pPr>
              <w:pStyle w:val="11"/>
              <w:numPr>
                <w:ilvl w:val="0"/>
                <w:numId w:val="3"/>
              </w:numPr>
              <w:spacing w:after="0"/>
              <w:ind w:firstLineChars="0"/>
              <w:rPr>
                <w:rFonts w:ascii="宋体" w:hAnsi="宋体" w:eastAsia="宋体"/>
                <w:sz w:val="24"/>
                <w:szCs w:val="24"/>
              </w:rPr>
            </w:pPr>
            <w:r>
              <w:rPr>
                <w:rFonts w:hint="eastAsia" w:ascii="宋体" w:hAnsi="宋体" w:eastAsia="宋体"/>
                <w:sz w:val="24"/>
                <w:szCs w:val="24"/>
              </w:rPr>
              <w:t>支持视频源任意切换，缩放和裁剪；</w:t>
            </w:r>
          </w:p>
          <w:p>
            <w:pPr>
              <w:pStyle w:val="11"/>
              <w:numPr>
                <w:ilvl w:val="0"/>
                <w:numId w:val="3"/>
              </w:numPr>
              <w:spacing w:after="0"/>
              <w:ind w:firstLineChars="0"/>
              <w:rPr>
                <w:rFonts w:ascii="宋体" w:hAnsi="宋体" w:eastAsia="宋体"/>
                <w:sz w:val="24"/>
                <w:szCs w:val="24"/>
              </w:rPr>
            </w:pPr>
            <w:r>
              <w:rPr>
                <w:rFonts w:hint="eastAsia" w:ascii="宋体" w:hAnsi="宋体" w:eastAsia="宋体"/>
                <w:sz w:val="24"/>
                <w:szCs w:val="24"/>
              </w:rPr>
              <w:t>支持画面偏移；</w:t>
            </w:r>
          </w:p>
          <w:p>
            <w:pPr>
              <w:pStyle w:val="11"/>
              <w:numPr>
                <w:ilvl w:val="0"/>
                <w:numId w:val="3"/>
              </w:numPr>
              <w:spacing w:after="0"/>
              <w:ind w:firstLineChars="0"/>
              <w:rPr>
                <w:rFonts w:ascii="宋体" w:hAnsi="宋体" w:eastAsia="宋体"/>
                <w:sz w:val="24"/>
                <w:szCs w:val="24"/>
              </w:rPr>
            </w:pPr>
            <w:r>
              <w:rPr>
                <w:rFonts w:hint="eastAsia" w:ascii="宋体" w:hAnsi="宋体" w:eastAsia="宋体"/>
                <w:sz w:val="24"/>
                <w:szCs w:val="24"/>
              </w:rPr>
              <w:t>双USB 2.0高速通讯接口，用于电脑调试和主控间任意级联；</w:t>
            </w:r>
          </w:p>
          <w:p>
            <w:pPr>
              <w:pStyle w:val="11"/>
              <w:numPr>
                <w:ilvl w:val="0"/>
                <w:numId w:val="3"/>
              </w:numPr>
              <w:spacing w:after="0"/>
              <w:ind w:firstLineChars="0"/>
              <w:rPr>
                <w:rFonts w:ascii="宋体" w:hAnsi="宋体" w:eastAsia="宋体"/>
                <w:sz w:val="24"/>
                <w:szCs w:val="24"/>
              </w:rPr>
            </w:pPr>
            <w:r>
              <w:rPr>
                <w:rFonts w:hint="eastAsia" w:ascii="宋体" w:hAnsi="宋体" w:eastAsia="宋体"/>
                <w:sz w:val="24"/>
                <w:szCs w:val="24"/>
              </w:rPr>
              <w:t>支持亮度和色温调节；</w:t>
            </w:r>
          </w:p>
          <w:p>
            <w:pPr>
              <w:pStyle w:val="11"/>
              <w:numPr>
                <w:ilvl w:val="0"/>
                <w:numId w:val="3"/>
              </w:numPr>
              <w:spacing w:after="0"/>
              <w:ind w:firstLineChars="0"/>
              <w:rPr>
                <w:rFonts w:ascii="宋体" w:hAnsi="宋体" w:eastAsia="宋体"/>
                <w:sz w:val="24"/>
                <w:szCs w:val="24"/>
              </w:rPr>
            </w:pPr>
            <w:r>
              <w:rPr>
                <w:rFonts w:hint="eastAsia" w:ascii="宋体" w:hAnsi="宋体" w:eastAsia="宋体"/>
                <w:sz w:val="24"/>
                <w:szCs w:val="24"/>
              </w:rPr>
              <w:t>支持低亮高灰；</w:t>
            </w:r>
          </w:p>
          <w:p>
            <w:pPr>
              <w:pStyle w:val="11"/>
              <w:numPr>
                <w:ilvl w:val="0"/>
                <w:numId w:val="3"/>
              </w:numPr>
              <w:spacing w:after="0"/>
              <w:ind w:firstLineChars="0"/>
              <w:rPr>
                <w:rFonts w:ascii="宋体" w:hAnsi="宋体" w:eastAsia="宋体"/>
                <w:sz w:val="24"/>
                <w:szCs w:val="24"/>
              </w:rPr>
            </w:pPr>
            <w:r>
              <w:rPr>
                <w:rFonts w:hint="eastAsia" w:ascii="宋体" w:hAnsi="宋体" w:eastAsia="宋体"/>
                <w:sz w:val="24"/>
                <w:szCs w:val="24"/>
              </w:rPr>
              <w:t>支持HDCP 1.4；</w:t>
            </w:r>
          </w:p>
          <w:p>
            <w:pPr>
              <w:pStyle w:val="11"/>
              <w:numPr>
                <w:ilvl w:val="0"/>
                <w:numId w:val="3"/>
              </w:numPr>
              <w:spacing w:after="0"/>
              <w:ind w:firstLineChars="0"/>
              <w:rPr>
                <w:rFonts w:ascii="宋体" w:hAnsi="宋体" w:eastAsia="宋体"/>
                <w:sz w:val="24"/>
                <w:szCs w:val="24"/>
              </w:rPr>
            </w:pPr>
            <w:r>
              <w:rPr>
                <w:rFonts w:hint="eastAsia" w:ascii="宋体" w:hAnsi="宋体" w:eastAsia="宋体"/>
                <w:sz w:val="24"/>
                <w:szCs w:val="24"/>
              </w:rPr>
              <w:t>LED显示屏音频自动切换到会议室音响设备上。</w:t>
            </w:r>
          </w:p>
          <w:p>
            <w:pPr>
              <w:rPr>
                <w:rFonts w:ascii="宋体" w:hAnsi="宋体" w:eastAsia="宋体"/>
                <w:color w:val="000000"/>
                <w:sz w:val="24"/>
                <w:szCs w:val="24"/>
              </w:rPr>
            </w:pPr>
            <w:r>
              <w:rPr>
                <w:rFonts w:hint="eastAsia" w:ascii="宋体" w:hAnsi="宋体" w:eastAsia="宋体"/>
                <w:color w:val="000000"/>
                <w:sz w:val="24"/>
                <w:szCs w:val="24"/>
                <w:lang w:val="en-US" w:eastAsia="zh-CN"/>
              </w:rPr>
              <w:t>12.</w:t>
            </w:r>
            <w:r>
              <w:rPr>
                <w:rFonts w:hint="eastAsia" w:ascii="宋体" w:hAnsi="宋体" w:eastAsia="宋体"/>
                <w:color w:val="000000"/>
                <w:sz w:val="24"/>
                <w:szCs w:val="24"/>
              </w:rPr>
              <w:t xml:space="preserve">★视频控制设备可调试显示屏的色域坐标显示不同坐标值色温，进行精确颜色管理;可任意改变 </w:t>
            </w:r>
            <w:r>
              <w:rPr>
                <w:rFonts w:ascii="宋体" w:hAnsi="宋体" w:eastAsia="宋体"/>
                <w:color w:val="000000"/>
                <w:sz w:val="24"/>
                <w:szCs w:val="24"/>
              </w:rPr>
              <w:t xml:space="preserve">0-255 </w:t>
            </w:r>
            <w:r>
              <w:rPr>
                <w:rFonts w:hint="eastAsia" w:ascii="宋体" w:hAnsi="宋体" w:eastAsia="宋体"/>
                <w:color w:val="000000"/>
                <w:sz w:val="24"/>
                <w:szCs w:val="24"/>
              </w:rPr>
              <w:t xml:space="preserve">灰阶不同灰度值的亮度显示并进行任意调节;色温调整精度在 </w:t>
            </w:r>
            <w:r>
              <w:rPr>
                <w:rFonts w:ascii="宋体" w:hAnsi="宋体" w:eastAsia="宋体"/>
                <w:color w:val="000000"/>
                <w:sz w:val="24"/>
                <w:szCs w:val="24"/>
              </w:rPr>
              <w:t xml:space="preserve">100K </w:t>
            </w:r>
            <w:r>
              <w:rPr>
                <w:rFonts w:hint="eastAsia" w:ascii="宋体" w:hAnsi="宋体" w:eastAsia="宋体"/>
                <w:color w:val="000000"/>
                <w:sz w:val="24"/>
                <w:szCs w:val="24"/>
              </w:rPr>
              <w:t>以内。</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ascii="宋体" w:hAnsi="宋体" w:eastAsia="宋体"/>
                <w:kern w:val="0"/>
                <w:sz w:val="24"/>
                <w:szCs w:val="24"/>
              </w:rPr>
              <w:t>1台</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6500</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6500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8" w:hRule="atLeast"/>
          <w:jc w:val="center"/>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4</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jc w:val="left"/>
              <w:rPr>
                <w:rStyle w:val="10"/>
                <w:rFonts w:ascii="宋体" w:hAnsi="宋体" w:eastAsia="宋体"/>
                <w:sz w:val="24"/>
                <w:szCs w:val="24"/>
              </w:rPr>
            </w:pPr>
            <w:r>
              <w:rPr>
                <w:rStyle w:val="10"/>
                <w:rFonts w:ascii="宋体" w:hAnsi="宋体" w:eastAsia="宋体"/>
                <w:kern w:val="0"/>
                <w:sz w:val="24"/>
                <w:szCs w:val="24"/>
              </w:rPr>
              <w:t>播控软件</w:t>
            </w:r>
          </w:p>
        </w:tc>
        <w:tc>
          <w:tcPr>
            <w:tcW w:w="4720"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olor w:val="000000"/>
                <w:sz w:val="24"/>
                <w:szCs w:val="24"/>
                <w:highlight w:val="yellow"/>
              </w:rPr>
            </w:pPr>
            <w:r>
              <w:rPr>
                <w:rFonts w:hint="eastAsia" w:ascii="宋体" w:hAnsi="宋体" w:eastAsia="宋体"/>
                <w:color w:val="000000"/>
                <w:sz w:val="24"/>
                <w:szCs w:val="24"/>
                <w:highlight w:val="yellow"/>
              </w:rPr>
              <w:t>用于 LED 显示屏控制和播放的专业软件。</w:t>
            </w:r>
            <w:r>
              <w:rPr>
                <w:rFonts w:hint="eastAsia" w:ascii="宋体" w:hAnsi="宋体" w:eastAsia="宋体"/>
                <w:color w:val="000000"/>
                <w:sz w:val="24"/>
                <w:szCs w:val="24"/>
                <w:highlight w:val="yellow"/>
                <w:lang w:val="en-US" w:eastAsia="zh-CN"/>
              </w:rPr>
              <w:t>具有</w:t>
            </w:r>
            <w:r>
              <w:rPr>
                <w:rFonts w:hint="eastAsia" w:ascii="宋体" w:hAnsi="宋体" w:eastAsia="宋体"/>
                <w:color w:val="000000"/>
                <w:sz w:val="24"/>
                <w:szCs w:val="24"/>
                <w:highlight w:val="yellow"/>
              </w:rPr>
              <w:t>良好的操作界面，易学易用。支持视频、音频、图像、文字、Flash、Gif 等形式的媒体文件播放;支持 Microsoft office 的 Word、Excel、PPT 显示;支持时钟、计时、天气预报显示;支持外部视频信号(TV、AV、S-Video、 复合视频)播放;支持多页面多分区节目编辑;软件提供丰富灵活的视频切换功能、分区特效，以及三维特效动画，让显示屏的显示效果得到完美展现。</w:t>
            </w:r>
          </w:p>
          <w:p>
            <w:pPr>
              <w:rPr>
                <w:rFonts w:ascii="宋体" w:hAnsi="宋体" w:eastAsia="宋体"/>
                <w:color w:val="000000"/>
                <w:sz w:val="24"/>
                <w:szCs w:val="24"/>
              </w:rPr>
            </w:pPr>
            <w:r>
              <w:rPr>
                <w:rFonts w:hint="eastAsia" w:ascii="宋体" w:hAnsi="宋体" w:eastAsia="宋体"/>
                <w:color w:val="000000"/>
                <w:sz w:val="24"/>
                <w:szCs w:val="24"/>
              </w:rPr>
              <w:t>控制系统软件支持实时监测发送卡网口带载面积，支持网口显示，并有预警显示；</w:t>
            </w:r>
          </w:p>
          <w:p>
            <w:pPr>
              <w:rPr>
                <w:rFonts w:ascii="宋体" w:hAnsi="宋体" w:eastAsia="宋体"/>
                <w:color w:val="000000"/>
                <w:sz w:val="24"/>
                <w:szCs w:val="24"/>
              </w:rPr>
            </w:pPr>
            <w:r>
              <w:rPr>
                <w:rFonts w:hint="eastAsia" w:ascii="宋体" w:hAnsi="宋体" w:eastAsia="宋体"/>
                <w:color w:val="000000"/>
                <w:sz w:val="24"/>
                <w:szCs w:val="24"/>
              </w:rPr>
              <w:t>★、控制系统软件可设置只读模式，支持不同权限设置，防止误操作；</w:t>
            </w:r>
          </w:p>
          <w:p>
            <w:pPr>
              <w:rPr>
                <w:rFonts w:ascii="宋体" w:hAnsi="宋体" w:eastAsia="宋体"/>
                <w:color w:val="000000"/>
                <w:sz w:val="24"/>
                <w:szCs w:val="24"/>
              </w:rPr>
            </w:pPr>
            <w:r>
              <w:rPr>
                <w:rFonts w:hint="eastAsia" w:ascii="宋体" w:hAnsi="宋体" w:eastAsia="宋体"/>
                <w:color w:val="000000"/>
                <w:sz w:val="24"/>
                <w:szCs w:val="24"/>
              </w:rPr>
              <w:t>通过控制系统软件快速调试主控，支持处理器软件快速调试，预存模式；</w:t>
            </w:r>
          </w:p>
          <w:p>
            <w:pPr>
              <w:spacing w:after="240"/>
              <w:rPr>
                <w:rFonts w:ascii="宋体" w:hAnsi="宋体" w:eastAsia="宋体"/>
                <w:color w:val="000000"/>
                <w:sz w:val="24"/>
                <w:szCs w:val="24"/>
              </w:rPr>
            </w:pPr>
            <w:r>
              <w:rPr>
                <w:rFonts w:hint="eastAsia" w:ascii="宋体" w:hAnsi="宋体" w:eastAsia="宋体"/>
                <w:color w:val="000000"/>
                <w:sz w:val="24"/>
                <w:szCs w:val="24"/>
              </w:rPr>
              <w:t>★、针对分级管理，控制软件可设置用户管理权限，精细化分级权限管理、分权操作。</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sz w:val="24"/>
                <w:szCs w:val="24"/>
              </w:rPr>
            </w:pPr>
            <w:r>
              <w:rPr>
                <w:rFonts w:hint="eastAsia" w:ascii="宋体" w:hAnsi="宋体" w:eastAsia="宋体" w:cs="宋体"/>
                <w:sz w:val="24"/>
                <w:szCs w:val="24"/>
              </w:rPr>
              <w:t>1套</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8000</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5</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配电柜</w:t>
            </w:r>
          </w:p>
        </w:tc>
        <w:tc>
          <w:tcPr>
            <w:tcW w:w="4720" w:type="dxa"/>
            <w:tcBorders>
              <w:top w:val="single" w:color="000000" w:sz="4" w:space="0"/>
              <w:left w:val="single" w:color="000000" w:sz="4" w:space="0"/>
              <w:bottom w:val="single" w:color="000000" w:sz="4" w:space="0"/>
              <w:right w:val="single" w:color="000000" w:sz="4" w:space="0"/>
            </w:tcBorders>
            <w:noWrap w:val="0"/>
            <w:vAlign w:val="center"/>
          </w:tcPr>
          <w:p>
            <w:pPr>
              <w:jc w:val="left"/>
              <w:rPr>
                <w:rStyle w:val="10"/>
                <w:rFonts w:ascii="宋体" w:hAnsi="宋体" w:eastAsia="宋体"/>
                <w:kern w:val="0"/>
                <w:sz w:val="24"/>
                <w:szCs w:val="24"/>
              </w:rPr>
            </w:pPr>
            <w:r>
              <w:rPr>
                <w:rStyle w:val="10"/>
                <w:rFonts w:hint="eastAsia" w:ascii="宋体" w:hAnsi="宋体" w:eastAsia="宋体"/>
                <w:kern w:val="0"/>
                <w:sz w:val="24"/>
                <w:szCs w:val="24"/>
              </w:rPr>
              <w:t>定制20KW：具备短路、断路以及漏电保护措施；</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1套</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1800</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jc w:val="center"/>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6</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屏体结构</w:t>
            </w:r>
          </w:p>
        </w:tc>
        <w:tc>
          <w:tcPr>
            <w:tcW w:w="4720" w:type="dxa"/>
            <w:tcBorders>
              <w:top w:val="single" w:color="000000" w:sz="4" w:space="0"/>
              <w:left w:val="single" w:color="000000" w:sz="4" w:space="0"/>
              <w:bottom w:val="single" w:color="000000" w:sz="4" w:space="0"/>
              <w:right w:val="single" w:color="000000" w:sz="4" w:space="0"/>
            </w:tcBorders>
            <w:noWrap w:val="0"/>
            <w:vAlign w:val="center"/>
          </w:tcPr>
          <w:p>
            <w:pPr>
              <w:jc w:val="left"/>
              <w:rPr>
                <w:rStyle w:val="10"/>
                <w:rFonts w:ascii="宋体" w:hAnsi="宋体" w:eastAsia="宋体"/>
                <w:kern w:val="0"/>
                <w:sz w:val="24"/>
                <w:szCs w:val="24"/>
              </w:rPr>
            </w:pPr>
            <w:r>
              <w:rPr>
                <w:rStyle w:val="10"/>
                <w:rFonts w:hint="eastAsia" w:ascii="宋体" w:hAnsi="宋体" w:eastAsia="宋体"/>
                <w:kern w:val="0"/>
                <w:sz w:val="24"/>
                <w:szCs w:val="24"/>
              </w:rPr>
              <w:t>屏体框架尺寸：7m*3.25m</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22.8㎡</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400</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9120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7</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pStyle w:val="9"/>
              <w:spacing w:line="320" w:lineRule="exact"/>
              <w:rPr>
                <w:rStyle w:val="10"/>
                <w:rFonts w:ascii="宋体" w:hAnsi="宋体" w:eastAsia="宋体"/>
                <w:sz w:val="24"/>
                <w:szCs w:val="24"/>
              </w:rPr>
            </w:pPr>
            <w:r>
              <w:rPr>
                <w:rStyle w:val="10"/>
                <w:rFonts w:hint="eastAsia" w:ascii="宋体" w:hAnsi="宋体" w:eastAsia="宋体"/>
                <w:sz w:val="24"/>
                <w:szCs w:val="24"/>
              </w:rPr>
              <w:t>同屏器</w:t>
            </w:r>
          </w:p>
        </w:tc>
        <w:tc>
          <w:tcPr>
            <w:tcW w:w="4720" w:type="dxa"/>
            <w:tcBorders>
              <w:top w:val="single" w:color="000000" w:sz="4" w:space="0"/>
              <w:left w:val="single" w:color="000000" w:sz="4" w:space="0"/>
              <w:bottom w:val="single" w:color="000000" w:sz="4" w:space="0"/>
              <w:right w:val="single" w:color="000000" w:sz="4" w:space="0"/>
            </w:tcBorders>
            <w:noWrap w:val="0"/>
            <w:vAlign w:val="center"/>
          </w:tcPr>
          <w:p>
            <w:pPr>
              <w:pStyle w:val="9"/>
              <w:rPr>
                <w:rStyle w:val="10"/>
                <w:rFonts w:ascii="宋体" w:hAnsi="宋体" w:eastAsia="宋体"/>
                <w:sz w:val="24"/>
                <w:szCs w:val="24"/>
              </w:rPr>
            </w:pPr>
            <w:r>
              <w:rPr>
                <w:rStyle w:val="10"/>
                <w:rFonts w:hint="eastAsia" w:ascii="宋体" w:hAnsi="宋体" w:eastAsia="宋体"/>
                <w:sz w:val="24"/>
                <w:szCs w:val="24"/>
                <w:highlight w:val="yellow"/>
              </w:rPr>
              <w:t>会议室内笔记本无线的音视频一键高清投屏（1080P，直接投屏无需安装驱动），控制室内控制电脑音视频画面显示、播放以及会议室内任意位置上移动设备（苹果、安卓、windows系统）的直接音视频投屏。</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1套</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2200</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1" w:hRule="atLeast"/>
          <w:jc w:val="center"/>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8</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pStyle w:val="9"/>
              <w:spacing w:line="320" w:lineRule="exact"/>
              <w:rPr>
                <w:rStyle w:val="10"/>
                <w:rFonts w:ascii="宋体" w:hAnsi="宋体" w:eastAsia="宋体"/>
                <w:sz w:val="24"/>
                <w:szCs w:val="24"/>
              </w:rPr>
            </w:pPr>
            <w:r>
              <w:rPr>
                <w:rStyle w:val="10"/>
                <w:rFonts w:hint="eastAsia" w:ascii="宋体" w:hAnsi="宋体" w:eastAsia="宋体"/>
                <w:sz w:val="24"/>
                <w:szCs w:val="24"/>
              </w:rPr>
              <w:t>分屏器</w:t>
            </w:r>
          </w:p>
        </w:tc>
        <w:tc>
          <w:tcPr>
            <w:tcW w:w="4720" w:type="dxa"/>
            <w:tcBorders>
              <w:top w:val="single" w:color="000000" w:sz="4" w:space="0"/>
              <w:left w:val="single" w:color="000000" w:sz="4" w:space="0"/>
              <w:bottom w:val="single" w:color="000000" w:sz="4" w:space="0"/>
              <w:right w:val="single" w:color="000000" w:sz="4" w:space="0"/>
            </w:tcBorders>
            <w:noWrap w:val="0"/>
            <w:vAlign w:val="center"/>
          </w:tcPr>
          <w:p>
            <w:pPr>
              <w:pStyle w:val="9"/>
              <w:rPr>
                <w:rStyle w:val="10"/>
                <w:rFonts w:ascii="宋体" w:hAnsi="宋体" w:eastAsia="宋体"/>
                <w:sz w:val="24"/>
                <w:szCs w:val="24"/>
              </w:rPr>
            </w:pPr>
            <w:r>
              <w:rPr>
                <w:rStyle w:val="10"/>
                <w:rFonts w:hint="eastAsia" w:ascii="宋体" w:hAnsi="宋体" w:eastAsia="宋体"/>
                <w:sz w:val="24"/>
                <w:szCs w:val="24"/>
              </w:rPr>
              <w:t>HDMI分配器1进8出。</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1套</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600</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9</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系统安装与集成费</w:t>
            </w:r>
          </w:p>
        </w:tc>
        <w:tc>
          <w:tcPr>
            <w:tcW w:w="4720" w:type="dxa"/>
            <w:tcBorders>
              <w:top w:val="single" w:color="000000" w:sz="4" w:space="0"/>
              <w:left w:val="single" w:color="000000" w:sz="4" w:space="0"/>
              <w:bottom w:val="single" w:color="000000" w:sz="4" w:space="0"/>
              <w:right w:val="single" w:color="000000" w:sz="4" w:space="0"/>
            </w:tcBorders>
            <w:noWrap w:val="0"/>
            <w:vAlign w:val="center"/>
          </w:tcPr>
          <w:p>
            <w:pPr>
              <w:jc w:val="left"/>
              <w:rPr>
                <w:rStyle w:val="10"/>
                <w:rFonts w:ascii="宋体" w:hAnsi="宋体" w:eastAsia="宋体"/>
                <w:kern w:val="0"/>
                <w:sz w:val="24"/>
                <w:szCs w:val="24"/>
              </w:rPr>
            </w:pPr>
            <w:r>
              <w:rPr>
                <w:rStyle w:val="10"/>
                <w:rFonts w:hint="eastAsia" w:ascii="宋体" w:hAnsi="宋体" w:eastAsia="宋体"/>
                <w:kern w:val="0"/>
                <w:sz w:val="24"/>
                <w:szCs w:val="24"/>
                <w:highlight w:val="yellow"/>
              </w:rPr>
              <w:t>线路布放施工及4台电视机信号线改造，与原会议室音响系统、4台电视机等设备的集成调试等，包含安装、调试及各类施工所需辅材。</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1项</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15980</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24"/>
                <w:szCs w:val="24"/>
              </w:rPr>
            </w:pPr>
            <w:r>
              <w:rPr>
                <w:rStyle w:val="10"/>
                <w:rFonts w:hint="eastAsia" w:ascii="宋体" w:hAnsi="宋体" w:eastAsia="宋体"/>
                <w:kern w:val="0"/>
                <w:sz w:val="24"/>
                <w:szCs w:val="24"/>
              </w:rPr>
              <w:t>15980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1" w:hRule="atLeast"/>
          <w:jc w:val="center"/>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kern w:val="0"/>
                <w:sz w:val="16"/>
                <w:szCs w:val="16"/>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pStyle w:val="9"/>
              <w:spacing w:line="320" w:lineRule="exact"/>
              <w:rPr>
                <w:rStyle w:val="10"/>
                <w:rFonts w:ascii="宋体" w:hAnsi="宋体" w:eastAsia="宋体"/>
                <w:sz w:val="16"/>
                <w:szCs w:val="16"/>
              </w:rPr>
            </w:pPr>
          </w:p>
        </w:tc>
        <w:tc>
          <w:tcPr>
            <w:tcW w:w="4720" w:type="dxa"/>
            <w:tcBorders>
              <w:top w:val="single" w:color="000000" w:sz="4" w:space="0"/>
              <w:left w:val="single" w:color="000000" w:sz="4" w:space="0"/>
              <w:bottom w:val="single" w:color="000000" w:sz="4" w:space="0"/>
              <w:right w:val="single" w:color="000000" w:sz="4" w:space="0"/>
            </w:tcBorders>
            <w:noWrap w:val="0"/>
            <w:vAlign w:val="center"/>
          </w:tcPr>
          <w:p>
            <w:pPr>
              <w:pStyle w:val="9"/>
              <w:spacing w:line="320" w:lineRule="exact"/>
              <w:rPr>
                <w:rStyle w:val="10"/>
                <w:rFonts w:ascii="宋体" w:hAnsi="宋体" w:eastAsia="宋体"/>
                <w:b/>
                <w:bCs/>
                <w:sz w:val="22"/>
                <w:szCs w:val="22"/>
              </w:rPr>
            </w:pP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jc w:val="center"/>
              <w:rPr>
                <w:rStyle w:val="10"/>
                <w:rFonts w:ascii="宋体" w:hAnsi="宋体" w:eastAsia="宋体"/>
                <w:b/>
                <w:bCs/>
                <w:kern w:val="0"/>
                <w:sz w:val="22"/>
              </w:rPr>
            </w:pPr>
          </w:p>
        </w:tc>
        <w:tc>
          <w:tcPr>
            <w:tcW w:w="873" w:type="dxa"/>
            <w:tcBorders>
              <w:top w:val="single" w:color="000000" w:sz="4" w:space="0"/>
              <w:left w:val="single" w:color="000000" w:sz="4" w:space="0"/>
              <w:bottom w:val="single" w:color="000000" w:sz="4" w:space="0"/>
              <w:right w:val="single" w:color="000000" w:sz="4" w:space="0"/>
            </w:tcBorders>
            <w:noWrap w:val="0"/>
            <w:vAlign w:val="top"/>
          </w:tcPr>
          <w:p>
            <w:pPr>
              <w:jc w:val="center"/>
              <w:rPr>
                <w:rStyle w:val="10"/>
                <w:rFonts w:ascii="宋体" w:hAnsi="宋体" w:eastAsia="宋体"/>
                <w:b/>
                <w:bCs/>
                <w:kern w:val="0"/>
                <w:sz w:val="22"/>
              </w:rPr>
            </w:pPr>
            <w:r>
              <w:rPr>
                <w:rStyle w:val="10"/>
                <w:rFonts w:hint="eastAsia" w:ascii="宋体" w:hAnsi="宋体" w:eastAsia="宋体"/>
                <w:b/>
                <w:bCs/>
                <w:kern w:val="0"/>
                <w:sz w:val="22"/>
              </w:rPr>
              <w:t>合计：</w:t>
            </w:r>
          </w:p>
        </w:tc>
        <w:tc>
          <w:tcPr>
            <w:tcW w:w="1001" w:type="dxa"/>
            <w:tcBorders>
              <w:top w:val="single" w:color="000000" w:sz="4" w:space="0"/>
              <w:left w:val="single" w:color="000000" w:sz="4" w:space="0"/>
              <w:bottom w:val="single" w:color="000000" w:sz="4" w:space="0"/>
              <w:right w:val="single" w:color="000000" w:sz="4" w:space="0"/>
            </w:tcBorders>
            <w:noWrap w:val="0"/>
            <w:vAlign w:val="top"/>
          </w:tcPr>
          <w:p>
            <w:pPr>
              <w:jc w:val="center"/>
              <w:rPr>
                <w:rStyle w:val="10"/>
                <w:rFonts w:ascii="宋体" w:hAnsi="宋体" w:eastAsia="宋体"/>
                <w:b/>
                <w:bCs/>
                <w:kern w:val="0"/>
                <w:sz w:val="22"/>
              </w:rPr>
            </w:pPr>
            <w:r>
              <w:rPr>
                <w:rStyle w:val="10"/>
                <w:rFonts w:hint="eastAsia" w:ascii="宋体" w:hAnsi="宋体" w:eastAsia="宋体"/>
                <w:b/>
                <w:bCs/>
                <w:kern w:val="0"/>
                <w:sz w:val="22"/>
              </w:rPr>
              <w:t>187000</w:t>
            </w:r>
          </w:p>
        </w:tc>
      </w:tr>
    </w:tbl>
    <w:p>
      <w:pPr>
        <w:pStyle w:val="2"/>
      </w:pPr>
    </w:p>
    <w:p>
      <w:pPr>
        <w:tabs>
          <w:tab w:val="left" w:pos="315"/>
        </w:tabs>
        <w:spacing w:line="380" w:lineRule="exact"/>
        <w:jc w:val="left"/>
        <w:rPr>
          <w:rFonts w:ascii="宋体" w:hAnsi="宋体" w:cs="宋体"/>
          <w:b/>
          <w:color w:val="FF0000"/>
          <w:sz w:val="24"/>
          <w:szCs w:val="24"/>
        </w:rPr>
      </w:pPr>
      <w:r>
        <w:rPr>
          <w:rFonts w:hint="eastAsia" w:ascii="宋体" w:hAnsi="宋体" w:cs="宋体"/>
          <w:b/>
          <w:color w:val="FF0000"/>
          <w:sz w:val="24"/>
          <w:szCs w:val="24"/>
        </w:rPr>
        <w:t>注：</w:t>
      </w:r>
    </w:p>
    <w:p>
      <w:pPr>
        <w:tabs>
          <w:tab w:val="left" w:pos="315"/>
        </w:tabs>
        <w:spacing w:line="380" w:lineRule="exact"/>
        <w:jc w:val="left"/>
        <w:rPr>
          <w:rFonts w:ascii="宋体" w:hAnsi="宋体" w:cs="宋体"/>
          <w:sz w:val="28"/>
          <w:szCs w:val="28"/>
        </w:rPr>
      </w:pPr>
      <w:r>
        <w:rPr>
          <w:rFonts w:hint="eastAsia" w:ascii="宋体" w:hAnsi="宋体" w:cs="宋体"/>
          <w:b/>
          <w:color w:val="FF0000"/>
          <w:sz w:val="24"/>
          <w:szCs w:val="24"/>
        </w:rPr>
        <w:t>1、如果在技术参数或配置中标明了品牌或产地，则仅供参考，并非指定，投标人可以选用替代的方案，但这种替代整体上要优于或相当于招标文件的相关要求。</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2、为鼓励不同品牌的充分竞争，如某货物的某技术参数或要求属于个别品牌专有，则该技术参数及要求不具有限制性，投标人可对该参数或要求进行适当调整，并应当在投标文件中说明调整的理由，且该调整须经评委会审核认可。</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3、所有描述为“支持”的，均表示具备、配置、提供、实现等意思，是要满足技术参数的要求。</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4、招标文件中用“</w:t>
      </w:r>
      <w:r>
        <w:rPr>
          <w:rFonts w:hint="eastAsia" w:ascii="宋体" w:hAnsi="宋体" w:cs="宋体"/>
          <w:b/>
          <w:color w:val="000000"/>
          <w:sz w:val="24"/>
          <w:szCs w:val="24"/>
        </w:rPr>
        <w:t>★</w:t>
      </w:r>
      <w:r>
        <w:rPr>
          <w:rFonts w:hint="eastAsia" w:ascii="宋体" w:hAnsi="宋体" w:cs="宋体"/>
          <w:b/>
          <w:color w:val="FF0000"/>
          <w:sz w:val="24"/>
          <w:szCs w:val="24"/>
        </w:rPr>
        <w:t>”标注的技术参数为不允许负偏离的实质性要求和条件（如果招标文件中有标注“</w:t>
      </w:r>
      <w:r>
        <w:rPr>
          <w:rFonts w:hint="eastAsia" w:ascii="宋体" w:hAnsi="宋体" w:cs="宋体"/>
          <w:b/>
          <w:color w:val="000000"/>
          <w:sz w:val="24"/>
          <w:szCs w:val="24"/>
        </w:rPr>
        <w:t>★</w:t>
      </w:r>
      <w:r>
        <w:rPr>
          <w:rFonts w:hint="eastAsia" w:ascii="宋体" w:hAnsi="宋体" w:cs="宋体"/>
          <w:b/>
          <w:color w:val="FF0000"/>
          <w:sz w:val="24"/>
          <w:szCs w:val="24"/>
        </w:rPr>
        <w:t>”的技术参数）。</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5、采购人在发布中标公告时，将依法对中标人所报产品（包括但不仅限于标注“</w:t>
      </w:r>
      <w:r>
        <w:rPr>
          <w:rFonts w:hint="eastAsia" w:ascii="宋体" w:hAnsi="宋体" w:cs="宋体"/>
          <w:b/>
          <w:sz w:val="24"/>
          <w:szCs w:val="24"/>
        </w:rPr>
        <w:t>▲</w:t>
      </w:r>
      <w:r>
        <w:rPr>
          <w:rFonts w:hint="eastAsia" w:ascii="宋体" w:hAnsi="宋体" w:cs="宋体"/>
          <w:b/>
          <w:color w:val="FF0000"/>
          <w:sz w:val="24"/>
          <w:szCs w:val="24"/>
        </w:rPr>
        <w:t>”的产品）的名称、品牌、规格型号、数量、单价等内容进行公告。</w:t>
      </w:r>
    </w:p>
    <w:p>
      <w:pPr>
        <w:spacing w:line="460" w:lineRule="exact"/>
        <w:rPr>
          <w:rFonts w:ascii="宋体" w:hAnsi="宋体"/>
          <w:b/>
          <w:sz w:val="44"/>
          <w:szCs w:val="44"/>
        </w:rPr>
      </w:pPr>
    </w:p>
    <w:p>
      <w:pPr>
        <w:spacing w:line="460" w:lineRule="exact"/>
        <w:rPr>
          <w:rFonts w:ascii="宋体" w:hAnsi="宋体"/>
          <w:b/>
          <w:sz w:val="44"/>
          <w:szCs w:val="44"/>
        </w:rPr>
      </w:pPr>
    </w:p>
    <w:p>
      <w:pPr>
        <w:tabs>
          <w:tab w:val="left" w:pos="1050"/>
        </w:tabs>
        <w:spacing w:line="430" w:lineRule="exact"/>
        <w:ind w:firstLine="3935" w:firstLineChars="1400"/>
        <w:outlineLvl w:val="2"/>
        <w:rPr>
          <w:rFonts w:ascii="宋体" w:hAnsi="宋体" w:cs="宋体"/>
          <w:b/>
          <w:sz w:val="28"/>
          <w:szCs w:val="28"/>
        </w:rPr>
      </w:pPr>
      <w:r>
        <w:rPr>
          <w:rFonts w:hint="eastAsia" w:ascii="宋体" w:hAnsi="宋体" w:cs="宋体"/>
          <w:b/>
          <w:sz w:val="28"/>
          <w:szCs w:val="28"/>
        </w:rPr>
        <w:t>二、商务要求</w:t>
      </w:r>
    </w:p>
    <w:p>
      <w:pPr>
        <w:tabs>
          <w:tab w:val="left" w:pos="1050"/>
        </w:tabs>
        <w:spacing w:line="430" w:lineRule="exact"/>
        <w:jc w:val="center"/>
        <w:outlineLvl w:val="2"/>
        <w:rPr>
          <w:rFonts w:ascii="宋体" w:hAnsi="宋体" w:cs="宋体"/>
          <w:b/>
          <w:sz w:val="28"/>
          <w:szCs w:val="28"/>
          <w:u w:val="single"/>
        </w:rPr>
      </w:pPr>
      <w:r>
        <w:rPr>
          <w:rFonts w:hint="eastAsia" w:ascii="宋体" w:hAnsi="宋体" w:cs="宋体"/>
          <w:b/>
          <w:color w:val="FF0000"/>
          <w:sz w:val="28"/>
          <w:szCs w:val="28"/>
          <w:highlight w:val="yellow"/>
        </w:rPr>
        <w:t>（本项目商务要求为不允许负偏离的实质性要求和条件）</w:t>
      </w:r>
    </w:p>
    <w:p>
      <w:pPr>
        <w:snapToGrid w:val="0"/>
        <w:spacing w:line="430" w:lineRule="exact"/>
        <w:ind w:firstLine="548" w:firstLineChars="196"/>
        <w:rPr>
          <w:rFonts w:ascii="宋体" w:hAnsi="宋体" w:cs="宋体"/>
          <w:b/>
          <w:color w:val="FF0000"/>
          <w:sz w:val="28"/>
          <w:szCs w:val="28"/>
        </w:rPr>
      </w:pPr>
      <w:r>
        <w:rPr>
          <w:rFonts w:hint="eastAsia" w:ascii="宋体" w:hAnsi="宋体" w:cs="宋体"/>
          <w:color w:val="000000"/>
          <w:sz w:val="28"/>
          <w:szCs w:val="28"/>
        </w:rPr>
        <w:t>1、所有货物</w:t>
      </w:r>
      <w:r>
        <w:rPr>
          <w:rFonts w:hint="eastAsia" w:ascii="宋体" w:hAnsi="宋体" w:cs="宋体"/>
          <w:sz w:val="28"/>
          <w:szCs w:val="28"/>
        </w:rPr>
        <w:t>（包括零部件）</w:t>
      </w:r>
      <w:r>
        <w:rPr>
          <w:rFonts w:hint="eastAsia" w:ascii="宋体" w:hAnsi="宋体" w:cs="宋体"/>
          <w:color w:val="000000"/>
          <w:sz w:val="28"/>
          <w:szCs w:val="28"/>
        </w:rPr>
        <w:t>须为全新的、未使用过的原装正品。提交货物</w:t>
      </w:r>
      <w:r>
        <w:rPr>
          <w:rFonts w:hint="eastAsia" w:ascii="宋体" w:hAnsi="宋体" w:cs="宋体"/>
          <w:sz w:val="28"/>
          <w:szCs w:val="28"/>
        </w:rPr>
        <w:t>（含相关服务）</w:t>
      </w:r>
      <w:r>
        <w:rPr>
          <w:rFonts w:hint="eastAsia" w:ascii="宋体" w:hAnsi="宋体" w:cs="宋体"/>
          <w:color w:val="000000"/>
          <w:sz w:val="28"/>
          <w:szCs w:val="28"/>
        </w:rPr>
        <w:t>的技术参数和配置应与招标文件的要求及其投标文件的技术要求偏离表（如果被评委会接受的话）相一致。若招标文件及投标文件中无相应说明，则以国家有关部门最新颁布的相应标准及规范为准。</w:t>
      </w:r>
    </w:p>
    <w:p>
      <w:pPr>
        <w:spacing w:line="430" w:lineRule="exact"/>
        <w:ind w:firstLine="560" w:firstLineChars="200"/>
        <w:rPr>
          <w:rFonts w:ascii="宋体" w:hAnsi="宋体" w:cs="宋体"/>
          <w:color w:val="000000"/>
          <w:sz w:val="28"/>
          <w:szCs w:val="28"/>
        </w:rPr>
      </w:pPr>
      <w:r>
        <w:rPr>
          <w:rFonts w:hint="eastAsia" w:ascii="宋体" w:hAnsi="宋体" w:cs="宋体"/>
          <w:color w:val="000000"/>
          <w:sz w:val="28"/>
          <w:szCs w:val="28"/>
        </w:rPr>
        <w:t>2、技术支持</w:t>
      </w:r>
    </w:p>
    <w:p>
      <w:pPr>
        <w:spacing w:line="430" w:lineRule="exact"/>
        <w:ind w:firstLine="560" w:firstLineChars="200"/>
        <w:rPr>
          <w:rFonts w:ascii="宋体" w:hAnsi="宋体" w:cs="宋体"/>
          <w:color w:val="000000"/>
          <w:sz w:val="28"/>
          <w:szCs w:val="28"/>
        </w:rPr>
      </w:pPr>
      <w:r>
        <w:rPr>
          <w:rFonts w:hint="eastAsia" w:ascii="宋体" w:hAnsi="宋体" w:cs="宋体"/>
          <w:color w:val="000000"/>
          <w:sz w:val="28"/>
          <w:szCs w:val="28"/>
        </w:rPr>
        <w:t>2.1中标人应向采购人提供全方位及时而有效的技术支持和服务。</w:t>
      </w:r>
    </w:p>
    <w:p>
      <w:pPr>
        <w:snapToGrid w:val="0"/>
        <w:spacing w:line="430" w:lineRule="exact"/>
        <w:ind w:firstLine="560" w:firstLineChars="200"/>
        <w:rPr>
          <w:rFonts w:ascii="宋体" w:hAnsi="宋体" w:cs="宋体"/>
          <w:color w:val="000000"/>
          <w:sz w:val="28"/>
          <w:szCs w:val="28"/>
        </w:rPr>
      </w:pPr>
      <w:r>
        <w:rPr>
          <w:rFonts w:hint="eastAsia" w:ascii="宋体" w:hAnsi="宋体" w:cs="宋体"/>
          <w:color w:val="000000"/>
          <w:sz w:val="28"/>
          <w:szCs w:val="28"/>
        </w:rPr>
        <w:t>2.2中标人负责供货、运输并安装调试完毕。</w:t>
      </w:r>
    </w:p>
    <w:p>
      <w:pPr>
        <w:tabs>
          <w:tab w:val="left" w:pos="7545"/>
        </w:tabs>
        <w:spacing w:line="430" w:lineRule="exact"/>
        <w:ind w:firstLine="560" w:firstLineChars="200"/>
        <w:rPr>
          <w:rFonts w:ascii="宋体" w:hAnsi="宋体" w:cs="宋体"/>
          <w:sz w:val="28"/>
          <w:szCs w:val="28"/>
        </w:rPr>
      </w:pPr>
      <w:r>
        <w:rPr>
          <w:rFonts w:hint="eastAsia" w:ascii="宋体" w:hAnsi="宋体" w:cs="宋体"/>
          <w:sz w:val="28"/>
          <w:szCs w:val="28"/>
        </w:rPr>
        <w:t>3、质保及售后服务：</w:t>
      </w:r>
    </w:p>
    <w:p>
      <w:pPr>
        <w:spacing w:line="430" w:lineRule="exact"/>
        <w:ind w:firstLine="562" w:firstLineChars="200"/>
        <w:rPr>
          <w:rFonts w:ascii="宋体" w:hAnsi="宋体" w:cs="宋体"/>
          <w:sz w:val="28"/>
          <w:szCs w:val="28"/>
        </w:rPr>
      </w:pPr>
      <w:r>
        <w:rPr>
          <w:rFonts w:hint="eastAsia" w:ascii="宋体" w:hAnsi="宋体" w:cs="宋体"/>
          <w:b/>
          <w:sz w:val="28"/>
          <w:szCs w:val="28"/>
        </w:rPr>
        <w:t>4.1中标人所有货物须提供至少</w:t>
      </w:r>
      <w:r>
        <w:rPr>
          <w:rFonts w:hint="eastAsia" w:ascii="宋体" w:hAnsi="宋体" w:cs="宋体"/>
          <w:b/>
          <w:color w:val="FF0000"/>
          <w:sz w:val="28"/>
          <w:szCs w:val="28"/>
          <w:u w:val="single"/>
        </w:rPr>
        <w:t>3</w:t>
      </w:r>
      <w:r>
        <w:rPr>
          <w:rFonts w:hint="eastAsia" w:ascii="宋体" w:hAnsi="宋体" w:cs="宋体"/>
          <w:b/>
          <w:color w:val="FF0000"/>
          <w:sz w:val="28"/>
          <w:szCs w:val="28"/>
        </w:rPr>
        <w:t>年</w:t>
      </w:r>
      <w:r>
        <w:rPr>
          <w:rFonts w:hint="eastAsia" w:ascii="宋体" w:hAnsi="宋体" w:cs="宋体"/>
          <w:b/>
          <w:sz w:val="28"/>
          <w:szCs w:val="28"/>
        </w:rPr>
        <w:t>的免费质保服务（自验收合格之日起计算）。</w:t>
      </w:r>
      <w:r>
        <w:rPr>
          <w:rFonts w:hint="eastAsia" w:ascii="宋体" w:hAnsi="宋体" w:cs="宋体"/>
          <w:sz w:val="28"/>
          <w:szCs w:val="28"/>
        </w:rPr>
        <w:t>所</w:t>
      </w:r>
      <w:r>
        <w:rPr>
          <w:rFonts w:hint="eastAsia" w:ascii="宋体" w:hAnsi="宋体" w:cs="宋体"/>
          <w:color w:val="000000"/>
          <w:sz w:val="28"/>
          <w:szCs w:val="28"/>
        </w:rPr>
        <w:t>有质</w:t>
      </w:r>
      <w:r>
        <w:rPr>
          <w:rFonts w:hint="eastAsia" w:ascii="宋体" w:hAnsi="宋体" w:cs="宋体"/>
          <w:sz w:val="28"/>
          <w:szCs w:val="28"/>
        </w:rPr>
        <w:t>保费用均已包含在投标总报价中。免费质保期满后，应提供优先的有偿售后服务及按不高于投标文件中主要配件、易损件清单所报价格供应原厂零配件等。软件终身免费升级、免费使用。</w:t>
      </w:r>
    </w:p>
    <w:p>
      <w:pPr>
        <w:spacing w:line="430" w:lineRule="exact"/>
        <w:ind w:firstLine="560" w:firstLineChars="200"/>
        <w:rPr>
          <w:rFonts w:ascii="宋体" w:hAnsi="宋体" w:cs="宋体"/>
          <w:sz w:val="28"/>
          <w:szCs w:val="28"/>
        </w:rPr>
      </w:pPr>
      <w:r>
        <w:rPr>
          <w:rFonts w:hint="eastAsia" w:ascii="宋体" w:hAnsi="宋体" w:cs="宋体"/>
          <w:sz w:val="28"/>
          <w:szCs w:val="28"/>
        </w:rPr>
        <w:t>4.2中标人须设有维修服务电话，负责解答用户在货物使用中遇到的问题，及时提出解决问题的建议和操作方法。</w:t>
      </w:r>
    </w:p>
    <w:p>
      <w:pPr>
        <w:spacing w:line="430" w:lineRule="exact"/>
        <w:ind w:firstLine="560" w:firstLineChars="200"/>
        <w:rPr>
          <w:rFonts w:ascii="宋体" w:hAnsi="宋体" w:cs="宋体"/>
          <w:sz w:val="28"/>
          <w:szCs w:val="28"/>
        </w:rPr>
      </w:pPr>
      <w:r>
        <w:rPr>
          <w:rFonts w:hint="eastAsia" w:ascii="宋体" w:hAnsi="宋体" w:cs="宋体"/>
          <w:sz w:val="28"/>
          <w:szCs w:val="28"/>
        </w:rPr>
        <w:t>4.3售后服务响应时间：如货物出现质量问题，中标人须</w:t>
      </w:r>
      <w:r>
        <w:rPr>
          <w:rFonts w:hint="eastAsia" w:ascii="宋体" w:hAnsi="宋体" w:cs="宋体"/>
          <w:color w:val="FF0000"/>
          <w:sz w:val="28"/>
          <w:szCs w:val="28"/>
          <w:u w:val="single"/>
        </w:rPr>
        <w:t>1小时内</w:t>
      </w:r>
      <w:r>
        <w:rPr>
          <w:rFonts w:hint="eastAsia" w:ascii="宋体" w:hAnsi="宋体" w:cs="宋体"/>
          <w:sz w:val="28"/>
          <w:szCs w:val="28"/>
        </w:rPr>
        <w:t>响应,电话响应无法解决，中标人必须在接报修电话</w:t>
      </w:r>
      <w:r>
        <w:rPr>
          <w:rFonts w:hint="eastAsia" w:ascii="宋体" w:hAnsi="宋体" w:cs="宋体"/>
          <w:color w:val="FF0000"/>
          <w:sz w:val="28"/>
          <w:szCs w:val="28"/>
          <w:u w:val="single"/>
        </w:rPr>
        <w:t>4小时</w:t>
      </w:r>
      <w:r>
        <w:rPr>
          <w:rFonts w:hint="eastAsia" w:ascii="宋体" w:hAnsi="宋体" w:cs="宋体"/>
          <w:sz w:val="28"/>
          <w:szCs w:val="28"/>
        </w:rPr>
        <w:t>内到达现场,</w:t>
      </w:r>
      <w:r>
        <w:rPr>
          <w:rFonts w:hint="eastAsia" w:ascii="宋体" w:hAnsi="宋体" w:cs="宋体"/>
          <w:color w:val="FF0000"/>
          <w:sz w:val="28"/>
          <w:szCs w:val="28"/>
        </w:rPr>
        <w:t>4</w:t>
      </w:r>
      <w:r>
        <w:rPr>
          <w:rFonts w:hint="eastAsia" w:ascii="宋体" w:hAnsi="宋体" w:cs="宋体"/>
          <w:color w:val="FF0000"/>
          <w:sz w:val="28"/>
          <w:szCs w:val="28"/>
          <w:u w:val="single"/>
        </w:rPr>
        <w:t>小时</w:t>
      </w:r>
      <w:r>
        <w:rPr>
          <w:rFonts w:hint="eastAsia" w:ascii="宋体" w:hAnsi="宋体" w:cs="宋体"/>
          <w:sz w:val="28"/>
          <w:szCs w:val="28"/>
        </w:rPr>
        <w:t>内解决问题。如不能解决的，中标人需免费提供备品备件供采购人使用。免费质保期内如货物出现质量问题，中标人负责免费修复，对于无法修复的情况，中标人负责免费更换。</w:t>
      </w:r>
    </w:p>
    <w:p>
      <w:pPr>
        <w:spacing w:line="430" w:lineRule="exact"/>
        <w:ind w:firstLine="560" w:firstLineChars="200"/>
        <w:rPr>
          <w:rFonts w:ascii="宋体" w:hAnsi="宋体" w:cs="宋体"/>
          <w:sz w:val="28"/>
          <w:szCs w:val="28"/>
        </w:rPr>
      </w:pPr>
      <w:r>
        <w:rPr>
          <w:rFonts w:hint="eastAsia" w:ascii="宋体" w:hAnsi="宋体" w:cs="宋体"/>
          <w:sz w:val="28"/>
          <w:szCs w:val="28"/>
        </w:rPr>
        <w:t>5、培训：</w:t>
      </w:r>
    </w:p>
    <w:p>
      <w:pPr>
        <w:spacing w:line="430" w:lineRule="exact"/>
        <w:ind w:firstLine="560" w:firstLineChars="200"/>
        <w:rPr>
          <w:rFonts w:ascii="宋体" w:hAnsi="宋体" w:cs="宋体"/>
          <w:sz w:val="28"/>
          <w:szCs w:val="28"/>
        </w:rPr>
      </w:pPr>
      <w:r>
        <w:rPr>
          <w:rFonts w:hint="eastAsia" w:ascii="宋体" w:hAnsi="宋体" w:cs="宋体"/>
          <w:sz w:val="28"/>
          <w:szCs w:val="28"/>
        </w:rPr>
        <w:t>5.1中标人应对采购人的操作人员提供现场培训。</w:t>
      </w:r>
    </w:p>
    <w:p>
      <w:pPr>
        <w:spacing w:line="430" w:lineRule="exact"/>
        <w:ind w:firstLine="560" w:firstLineChars="200"/>
        <w:rPr>
          <w:rFonts w:ascii="宋体" w:hAnsi="宋体" w:cs="宋体"/>
          <w:sz w:val="28"/>
          <w:szCs w:val="28"/>
        </w:rPr>
      </w:pPr>
      <w:r>
        <w:rPr>
          <w:rFonts w:hint="eastAsia" w:ascii="宋体" w:hAnsi="宋体" w:cs="宋体"/>
          <w:sz w:val="28"/>
          <w:szCs w:val="28"/>
        </w:rPr>
        <w:t>5.2现场培训能够根据采购人需要，合理安排，使采购人能够全面掌握设备的工作原理，熟练独立操作设备，并能够对设备进行日常维护与保养，简单故障诊断与排除。</w:t>
      </w:r>
    </w:p>
    <w:p>
      <w:pPr>
        <w:spacing w:line="430" w:lineRule="exact"/>
        <w:ind w:firstLine="560" w:firstLineChars="200"/>
        <w:rPr>
          <w:rFonts w:ascii="宋体" w:hAnsi="宋体" w:cs="宋体"/>
          <w:sz w:val="28"/>
          <w:szCs w:val="28"/>
        </w:rPr>
      </w:pPr>
      <w:r>
        <w:rPr>
          <w:rFonts w:hint="eastAsia" w:ascii="宋体" w:hAnsi="宋体" w:cs="宋体"/>
          <w:sz w:val="28"/>
          <w:szCs w:val="28"/>
        </w:rPr>
        <w:t>5.3培训费用包含在总投标价中。</w:t>
      </w:r>
    </w:p>
    <w:p>
      <w:pPr>
        <w:spacing w:line="430" w:lineRule="exact"/>
        <w:ind w:firstLine="562" w:firstLineChars="200"/>
        <w:rPr>
          <w:rFonts w:ascii="宋体" w:hAnsi="宋体" w:cs="宋体"/>
          <w:b/>
          <w:sz w:val="28"/>
          <w:szCs w:val="28"/>
        </w:rPr>
      </w:pPr>
      <w:r>
        <w:rPr>
          <w:rFonts w:hint="eastAsia" w:ascii="宋体" w:hAnsi="宋体" w:cs="宋体"/>
          <w:b/>
          <w:sz w:val="28"/>
          <w:szCs w:val="28"/>
        </w:rPr>
        <w:t>6、供货期：自合同签订之</w:t>
      </w:r>
      <w:r>
        <w:rPr>
          <w:rFonts w:hint="eastAsia" w:ascii="宋体" w:hAnsi="宋体" w:cs="宋体"/>
          <w:b/>
          <w:color w:val="FF0000"/>
          <w:sz w:val="28"/>
          <w:szCs w:val="28"/>
          <w:u w:val="single"/>
        </w:rPr>
        <w:t>10日</w:t>
      </w:r>
      <w:r>
        <w:rPr>
          <w:rFonts w:hint="eastAsia" w:ascii="宋体" w:hAnsi="宋体" w:cs="宋体"/>
          <w:b/>
          <w:sz w:val="28"/>
          <w:szCs w:val="28"/>
        </w:rPr>
        <w:t>内供货并安装调试完毕。</w:t>
      </w:r>
    </w:p>
    <w:p>
      <w:pPr>
        <w:spacing w:line="430" w:lineRule="exact"/>
        <w:ind w:firstLine="560" w:firstLineChars="200"/>
        <w:rPr>
          <w:rFonts w:ascii="宋体" w:hAnsi="宋体" w:cs="宋体"/>
          <w:sz w:val="28"/>
          <w:szCs w:val="28"/>
        </w:rPr>
      </w:pPr>
      <w:r>
        <w:rPr>
          <w:rFonts w:hint="eastAsia" w:ascii="宋体" w:hAnsi="宋体" w:cs="宋体"/>
          <w:sz w:val="28"/>
          <w:szCs w:val="28"/>
        </w:rPr>
        <w:t>7、供货与安装地点：马鞍山市人民医院。</w:t>
      </w:r>
    </w:p>
    <w:p>
      <w:pPr>
        <w:spacing w:line="430" w:lineRule="exact"/>
        <w:ind w:firstLine="560" w:firstLineChars="200"/>
        <w:rPr>
          <w:rFonts w:ascii="宋体" w:hAnsi="宋体" w:cs="宋体"/>
          <w:sz w:val="28"/>
          <w:szCs w:val="28"/>
        </w:rPr>
      </w:pPr>
      <w:r>
        <w:rPr>
          <w:rFonts w:hint="eastAsia" w:ascii="宋体" w:hAnsi="宋体" w:cs="宋体"/>
          <w:sz w:val="28"/>
          <w:szCs w:val="28"/>
        </w:rPr>
        <w:t>8、验收：</w:t>
      </w:r>
    </w:p>
    <w:p>
      <w:pPr>
        <w:spacing w:line="430" w:lineRule="exact"/>
        <w:ind w:firstLine="560" w:firstLineChars="200"/>
        <w:rPr>
          <w:rFonts w:ascii="宋体" w:hAnsi="宋体" w:cs="宋体"/>
          <w:sz w:val="28"/>
          <w:szCs w:val="28"/>
        </w:rPr>
      </w:pPr>
      <w:r>
        <w:rPr>
          <w:rFonts w:hint="eastAsia" w:ascii="宋体" w:hAnsi="宋体" w:cs="宋体"/>
          <w:sz w:val="28"/>
          <w:szCs w:val="28"/>
        </w:rPr>
        <w:t>8.1采购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采购人须约请相关部门和专家参加项目验收。所有需要质检部门进行检测才能使用的设备，投标报价中必须包含首次检测费用。</w:t>
      </w:r>
    </w:p>
    <w:p>
      <w:pPr>
        <w:spacing w:line="430" w:lineRule="exact"/>
        <w:ind w:firstLine="560" w:firstLineChars="200"/>
        <w:rPr>
          <w:rFonts w:ascii="宋体" w:hAnsi="宋体" w:cs="宋体"/>
          <w:sz w:val="28"/>
          <w:szCs w:val="28"/>
        </w:rPr>
      </w:pPr>
      <w:r>
        <w:rPr>
          <w:rFonts w:hint="eastAsia" w:ascii="宋体" w:hAnsi="宋体" w:cs="宋体"/>
          <w:sz w:val="28"/>
          <w:szCs w:val="28"/>
        </w:rPr>
        <w:t>8.2货物在验收时，投标人应提供发票、制造厂家出具的产品合格证书、装箱清单等,涉及进口的货物须提供中国海关进口货物报关单、完税证明及商检证明等材料；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(如产品质量检验报告、国家相关检测机构出具的检验报告等）等文件汇集成册交付采购人和应由中标人提供的必要文件。</w:t>
      </w:r>
    </w:p>
    <w:p>
      <w:pPr>
        <w:spacing w:line="430" w:lineRule="exact"/>
        <w:ind w:firstLine="560" w:firstLineChars="200"/>
        <w:rPr>
          <w:rFonts w:ascii="宋体" w:hAnsi="宋体" w:cs="宋体"/>
          <w:sz w:val="28"/>
          <w:szCs w:val="28"/>
        </w:rPr>
      </w:pPr>
      <w:r>
        <w:rPr>
          <w:rFonts w:hint="eastAsia" w:ascii="宋体" w:hAnsi="宋体" w:cs="宋体"/>
          <w:sz w:val="28"/>
          <w:szCs w:val="28"/>
        </w:rPr>
        <w:t>8.3中标人应根据采购人使用单位的技术要求提供相应的软硬件产品。由中标人所提供的设备部件间的连线和插接件均应视为设备内部器件，包含在相应的设备之中。</w:t>
      </w:r>
    </w:p>
    <w:p>
      <w:pPr>
        <w:spacing w:line="430" w:lineRule="exact"/>
        <w:ind w:firstLine="560" w:firstLineChars="200"/>
        <w:rPr>
          <w:rFonts w:ascii="宋体" w:hAnsi="宋体" w:cs="宋体"/>
          <w:sz w:val="28"/>
          <w:szCs w:val="28"/>
        </w:rPr>
      </w:pPr>
      <w:r>
        <w:rPr>
          <w:rFonts w:hint="eastAsia" w:ascii="宋体" w:hAnsi="宋体" w:cs="宋体"/>
          <w:sz w:val="28"/>
          <w:szCs w:val="28"/>
        </w:rPr>
        <w:t>8.4所有货物安装时若需使用特殊的接头、插座、线缆、线槽、电管、线卡、桥架、线盒、软管、特殊安装工具等备件由中标人提供，费用包含在总投标价中。</w:t>
      </w:r>
    </w:p>
    <w:p>
      <w:pPr>
        <w:spacing w:line="430" w:lineRule="exact"/>
        <w:ind w:firstLine="560" w:firstLineChars="200"/>
        <w:rPr>
          <w:rFonts w:ascii="宋体" w:hAnsi="宋体" w:cs="宋体"/>
          <w:b/>
          <w:sz w:val="28"/>
          <w:szCs w:val="28"/>
        </w:rPr>
      </w:pPr>
      <w:r>
        <w:rPr>
          <w:rFonts w:hint="eastAsia" w:ascii="宋体" w:hAnsi="宋体" w:cs="宋体"/>
          <w:sz w:val="28"/>
          <w:szCs w:val="28"/>
        </w:rPr>
        <w:t>8.5对货物进行全面的验收，对验收中暴露出来的问题，中标人应及时进行整改，最终验收合格后，采购人向中标人签发最终验收证明。</w:t>
      </w:r>
    </w:p>
    <w:p>
      <w:pPr>
        <w:spacing w:line="430" w:lineRule="exact"/>
        <w:ind w:firstLine="560" w:firstLineChars="200"/>
        <w:contextualSpacing/>
        <w:rPr>
          <w:rFonts w:ascii="宋体" w:hAnsi="宋体" w:cs="宋体"/>
          <w:sz w:val="28"/>
          <w:szCs w:val="28"/>
        </w:rPr>
      </w:pPr>
      <w:r>
        <w:rPr>
          <w:rFonts w:hint="eastAsia" w:ascii="宋体" w:hAnsi="宋体" w:cs="宋体"/>
          <w:sz w:val="28"/>
          <w:szCs w:val="28"/>
        </w:rPr>
        <w:t>8.6中标人应向采购人提供安装调试过程中的各种文档资料,以便采购人今后能掌握操作和维护方法。</w:t>
      </w:r>
    </w:p>
    <w:p>
      <w:pPr>
        <w:spacing w:line="430" w:lineRule="exact"/>
        <w:ind w:firstLine="560" w:firstLineChars="200"/>
        <w:contextualSpacing/>
        <w:rPr>
          <w:rFonts w:ascii="宋体" w:hAnsi="宋体" w:cs="宋体"/>
          <w:sz w:val="28"/>
          <w:szCs w:val="28"/>
        </w:rPr>
      </w:pPr>
      <w:r>
        <w:rPr>
          <w:rFonts w:hint="eastAsia" w:ascii="宋体" w:hAnsi="宋体" w:cs="宋体"/>
          <w:sz w:val="28"/>
          <w:szCs w:val="28"/>
        </w:rPr>
        <w:t>9、付款方式：验收合格30日后，支付合同总价的95%，余款5%质保期满之后1个月内付清。</w:t>
      </w:r>
    </w:p>
    <w:p>
      <w:pPr>
        <w:pStyle w:val="2"/>
        <w:ind w:firstLine="560" w:firstLineChars="200"/>
      </w:pPr>
      <w:r>
        <w:rPr>
          <w:rFonts w:hint="eastAsia" w:hAnsi="宋体" w:cs="宋体"/>
          <w:sz w:val="28"/>
          <w:szCs w:val="28"/>
        </w:rPr>
        <w:t>10、本项目总投标价包括了履行合同所有内容的全部费用。总投标价包含了交付使用前的全部费用，包括货物购置费（所有设备、辅材、零配件、易损件、备品备件及专用工具等）、安装调试费、原有的设备拆除费、人工费、交通费、食宿费、管理费、运输费、保险费、免费质保期内的维护维修费、培训费、验收费、采购代理服务费、其他费用（如包装费、仓储费、保管费、资料费、软件升级费以及完成本项目所需要的其他费用）及所有价内价外税金及合理利润等。</w:t>
      </w:r>
    </w:p>
    <w:p>
      <w:pPr>
        <w:pStyle w:val="4"/>
        <w:widowControl w:val="0"/>
        <w:numPr>
          <w:ilvl w:val="0"/>
          <w:numId w:val="0"/>
        </w:numPr>
        <w:jc w:val="left"/>
        <w:rPr>
          <w:rFonts w:hint="eastAsia"/>
        </w:rPr>
      </w:pPr>
    </w:p>
    <w:p>
      <w:pPr>
        <w:pStyle w:val="4"/>
        <w:widowControl w:val="0"/>
        <w:numPr>
          <w:ilvl w:val="0"/>
          <w:numId w:val="0"/>
        </w:numPr>
        <w:jc w:val="left"/>
        <w:rPr>
          <w:rFonts w:hint="eastAsia"/>
        </w:rPr>
      </w:pPr>
    </w:p>
    <w:p>
      <w:pPr>
        <w:pStyle w:val="4"/>
        <w:widowControl w:val="0"/>
        <w:numPr>
          <w:ilvl w:val="0"/>
          <w:numId w:val="0"/>
        </w:numPr>
        <w:jc w:val="left"/>
        <w:rPr>
          <w:rFonts w:hint="eastAsia"/>
        </w:rPr>
      </w:pPr>
    </w:p>
    <w:p>
      <w:pPr>
        <w:pStyle w:val="4"/>
        <w:widowControl w:val="0"/>
        <w:numPr>
          <w:ilvl w:val="0"/>
          <w:numId w:val="0"/>
        </w:numPr>
        <w:jc w:val="left"/>
        <w:rPr>
          <w:rFonts w:hint="eastAsia"/>
        </w:rPr>
      </w:pPr>
    </w:p>
    <w:p>
      <w:pPr>
        <w:pStyle w:val="3"/>
        <w:rPr>
          <w:rFonts w:hint="eastAsia" w:ascii="宋体" w:hAnsi="宋体" w:eastAsia="宋体" w:cs="宋体"/>
          <w:sz w:val="32"/>
          <w:szCs w:val="32"/>
        </w:rPr>
      </w:pPr>
      <w:r>
        <w:rPr>
          <w:rFonts w:hint="eastAsia" w:ascii="宋体" w:hAnsi="Courier New" w:eastAsia="宋体" w:cs="Times New Roman"/>
          <w:kern w:val="2"/>
          <w:sz w:val="21"/>
          <w:szCs w:val="20"/>
          <w:lang w:val="en-US" w:eastAsia="zh-CN" w:bidi="ar-SA"/>
        </w:rPr>
        <w:drawing>
          <wp:inline distT="0" distB="0" distL="114300" distR="114300">
            <wp:extent cx="6179820" cy="4326890"/>
            <wp:effectExtent l="0" t="0" r="11430"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6179820" cy="4326890"/>
                    </a:xfrm>
                    <a:prstGeom prst="rect">
                      <a:avLst/>
                    </a:prstGeom>
                    <a:noFill/>
                    <a:ln>
                      <a:noFill/>
                    </a:ln>
                  </pic:spPr>
                </pic:pic>
              </a:graphicData>
            </a:graphic>
          </wp:inline>
        </w:drawing>
      </w:r>
    </w:p>
    <w:p>
      <w:pPr>
        <w:pStyle w:val="3"/>
        <w:rPr>
          <w:rFonts w:hint="eastAsia" w:ascii="宋体" w:hAnsi="宋体" w:eastAsia="宋体" w:cs="宋体"/>
          <w:sz w:val="32"/>
          <w:szCs w:val="32"/>
        </w:rPr>
      </w:pPr>
    </w:p>
    <w:p>
      <w:pPr>
        <w:pStyle w:val="3"/>
        <w:rPr>
          <w:rFonts w:hint="eastAsia" w:ascii="宋体" w:hAnsi="宋体" w:eastAsia="宋体" w:cs="宋体"/>
          <w:sz w:val="32"/>
          <w:szCs w:val="32"/>
        </w:rPr>
      </w:pPr>
    </w:p>
    <w:p>
      <w:pPr>
        <w:pStyle w:val="3"/>
        <w:rPr>
          <w:rFonts w:hint="eastAsia" w:ascii="宋体" w:hAnsi="宋体" w:eastAsia="宋体" w:cs="宋体"/>
          <w:sz w:val="32"/>
          <w:szCs w:val="32"/>
        </w:rPr>
      </w:pPr>
    </w:p>
    <w:p>
      <w:pPr>
        <w:pStyle w:val="3"/>
        <w:rPr>
          <w:rFonts w:hint="eastAsia" w:ascii="宋体" w:hAnsi="宋体" w:eastAsia="宋体" w:cs="宋体"/>
          <w:sz w:val="32"/>
          <w:szCs w:val="32"/>
        </w:rPr>
      </w:pPr>
    </w:p>
    <w:p>
      <w:pPr>
        <w:pStyle w:val="3"/>
        <w:rPr>
          <w:rFonts w:hint="eastAsia" w:ascii="宋体" w:hAnsi="宋体" w:eastAsia="宋体" w:cs="宋体"/>
          <w:sz w:val="32"/>
          <w:szCs w:val="32"/>
        </w:rPr>
      </w:pPr>
    </w:p>
    <w:p>
      <w:pPr>
        <w:pStyle w:val="3"/>
        <w:rPr>
          <w:rFonts w:hint="eastAsia" w:ascii="宋体" w:hAnsi="宋体" w:eastAsia="宋体" w:cs="宋体"/>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6A6180"/>
    <w:multiLevelType w:val="multilevel"/>
    <w:tmpl w:val="016A6180"/>
    <w:lvl w:ilvl="0" w:tentative="0">
      <w:start w:val="1"/>
      <w:numFmt w:val="decimal"/>
      <w:suff w:val="nothing"/>
      <w:lvlText w:val="%1、"/>
      <w:lvlJc w:val="left"/>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2ED7BBC"/>
    <w:multiLevelType w:val="multilevel"/>
    <w:tmpl w:val="32ED7BB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6D463AB"/>
    <w:multiLevelType w:val="multilevel"/>
    <w:tmpl w:val="46D463A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9E30A7"/>
    <w:rsid w:val="369E3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jc w:val="center"/>
      <w:outlineLvl w:val="0"/>
    </w:pPr>
    <w:rPr>
      <w:b/>
      <w:kern w:val="44"/>
      <w:sz w:val="44"/>
      <w:szCs w:val="20"/>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PlainText"/>
    <w:basedOn w:val="1"/>
    <w:qFormat/>
    <w:uiPriority w:val="0"/>
    <w:rPr>
      <w:rFonts w:ascii="宋体" w:hAnsi="Courier New"/>
      <w:szCs w:val="20"/>
    </w:rPr>
  </w:style>
  <w:style w:type="paragraph" w:styleId="4">
    <w:name w:val="Body Text"/>
    <w:basedOn w:val="1"/>
    <w:qFormat/>
    <w:uiPriority w:val="0"/>
    <w:pPr>
      <w:jc w:val="left"/>
    </w:pPr>
    <w:rPr>
      <w:kern w:val="0"/>
      <w:sz w:val="20"/>
      <w:szCs w:val="20"/>
    </w:rPr>
  </w:style>
  <w:style w:type="paragraph" w:styleId="5">
    <w:name w:val="footer"/>
    <w:basedOn w:val="1"/>
    <w:qFormat/>
    <w:uiPriority w:val="0"/>
    <w:pPr>
      <w:tabs>
        <w:tab w:val="center" w:pos="4153"/>
        <w:tab w:val="right" w:pos="8306"/>
      </w:tabs>
      <w:snapToGrid w:val="0"/>
      <w:jc w:val="left"/>
    </w:pPr>
    <w:rPr>
      <w:kern w:val="0"/>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customStyle="1" w:styleId="9">
    <w:name w:val="UserStyle_2"/>
    <w:basedOn w:val="1"/>
    <w:qFormat/>
    <w:uiPriority w:val="0"/>
    <w:rPr>
      <w:kern w:val="0"/>
      <w:szCs w:val="21"/>
    </w:rPr>
  </w:style>
  <w:style w:type="character" w:customStyle="1" w:styleId="10">
    <w:name w:val="NormalCharacter"/>
    <w:qFormat/>
    <w:uiPriority w:val="0"/>
  </w:style>
  <w:style w:type="paragraph" w:customStyle="1" w:styleId="11">
    <w:name w:val="列表段落1"/>
    <w:basedOn w:val="1"/>
    <w:qFormat/>
    <w:uiPriority w:val="34"/>
    <w:pPr>
      <w:ind w:firstLine="420" w:firstLineChars="200"/>
    </w:pPr>
    <w:rPr>
      <w:rFonts w:ascii="Times New Roman" w:hAnsi="Times New Roman"/>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2021-05-05T01:57:00Z</dcterms:created>
  <dc:creator>敏敏</dc:creator>
  <cp:lastModifiedBy>敏敏</cp:lastModifiedBy>
  <dcterms:modified xsi:type="dcterms:W3CDTF">2021-05-05T01:57:52Z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3BAAC998810B4802850D3E3C61D16290</vt:lpwstr>
  </property>
</Properties>
</file>