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4" Type="http://schemas.openxmlformats.org/officeDocument/2006/relationships/officeDocument" Target="word/document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hint="eastAsia"/>
          <w:b/>
          <w:bCs/>
          <w:sz w:val="36"/>
          <w:szCs w:val="36"/>
        </w:rPr>
      </w:pPr>
      <w:bookmarkStart w:id="0" w:name="_GoBack"/>
      <w:bookmarkEnd w:id="0"/>
      <w:r>
        <w:rPr>
          <w:rFonts w:hint="eastAsia"/>
          <w:b/>
          <w:bCs/>
          <w:sz w:val="36"/>
          <w:szCs w:val="36"/>
        </w:rPr>
        <w:t>人民医院</w:t>
      </w:r>
      <w:r>
        <w:rPr>
          <w:rFonts w:hint="eastAsia"/>
          <w:b/>
          <w:bCs/>
          <w:sz w:val="36"/>
          <w:szCs w:val="36"/>
          <w:lang w:val="en-US" w:eastAsia="zh-CN"/>
        </w:rPr>
        <w:t>药事科</w:t>
      </w:r>
      <w:r>
        <w:rPr>
          <w:rFonts w:hint="eastAsia"/>
          <w:b/>
          <w:bCs/>
          <w:sz w:val="36"/>
          <w:szCs w:val="36"/>
        </w:rPr>
        <w:t>监控</w:t>
      </w:r>
      <w:r>
        <w:rPr>
          <w:rFonts w:hint="eastAsia"/>
          <w:b/>
          <w:bCs/>
          <w:sz w:val="36"/>
          <w:szCs w:val="36"/>
          <w:lang w:val="en-US" w:eastAsia="zh-CN"/>
        </w:rPr>
        <w:t>采购</w:t>
      </w:r>
      <w:r>
        <w:rPr>
          <w:rFonts w:hint="eastAsia"/>
          <w:b/>
          <w:bCs/>
          <w:sz w:val="36"/>
          <w:szCs w:val="36"/>
        </w:rPr>
        <w:t>需求</w:t>
      </w:r>
    </w:p>
    <w:p>
      <w:pPr>
        <w:numPr>
          <w:ilvl w:val="0"/>
          <w:numId w:val="1"/>
        </w:num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项目概况</w:t>
      </w:r>
    </w:p>
    <w:p>
      <w:pPr>
        <w:numPr>
          <w:numId w:val="0"/>
        </w:numPr>
        <w:rPr>
          <w:rFonts w:hint="default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 xml:space="preserve">    </w:t>
      </w:r>
      <w:r>
        <w:rPr>
          <w:rFonts w:hint="eastAsia"/>
          <w:sz w:val="28"/>
          <w:szCs w:val="28"/>
          <w:lang w:val="en-US" w:eastAsia="zh-CN"/>
        </w:rPr>
        <w:t>人民医院药事科因工作需要，共需要增加摄像头15台。位置分别为药库7台，门诊中西医药房3台，住院药房2台，发热门诊及感染药房2台，急诊药房1台。建议现场调研，未到现场调研者，表示认可本案。</w:t>
      </w:r>
    </w:p>
    <w:p>
      <w:pPr>
        <w:numPr>
          <w:ilvl w:val="0"/>
          <w:numId w:val="1"/>
        </w:numPr>
        <w:rPr>
          <w:rFonts w:hint="eastAsia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  <w:lang w:val="en-US" w:eastAsia="zh-CN"/>
        </w:rPr>
        <w:t>需求清单及参数要求</w:t>
      </w:r>
    </w:p>
    <w:tbl>
      <w:tblPr>
        <w:tblW w:w="8349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62"/>
        <w:gridCol w:w="5862"/>
        <w:gridCol w:w="713"/>
        <w:gridCol w:w="612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名称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规格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数量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bCs w:val="0"/>
                <w:i w:val="0"/>
                <w:color w:val="000000"/>
                <w:kern w:val="0"/>
                <w:sz w:val="24"/>
                <w:szCs w:val="24"/>
                <w:u w:val="none"/>
                <w:lang w:val="en-US" w:eastAsia="zh-CN"/>
              </w:rPr>
              <w:t>单位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6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等线" w:hAnsi="等线" w:eastAsia="等线" w:cs="等线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1"/>
                <w:szCs w:val="21"/>
                <w:u w:val="none"/>
                <w:lang w:val="en-US" w:eastAsia="zh-CN"/>
              </w:rPr>
              <w:t>智能变焦半球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*1、最大图像尺寸：2560 × 1440</w:t>
            </w:r>
          </w:p>
          <w:p>
            <w:pPr>
              <w:widowControl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主码流帧率分辨率：50 Hz：25 fps（2560 × 1440，1920 × 1080，1280 × 720）</w:t>
            </w:r>
          </w:p>
          <w:p>
            <w:pPr>
              <w:widowControl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子码流帧率分辨率：50 Hz：25 fps（640 × 480，640 × 360）</w:t>
            </w:r>
          </w:p>
          <w:p>
            <w:pPr>
              <w:widowControl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视频压缩标准：主码流：H.265/H.264 子码流：H.265/H.264/MJPEG</w:t>
            </w:r>
          </w:p>
          <w:p>
            <w:pPr>
              <w:widowControl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视频压缩码率：32 Kbps~8 Mbps  H.265编码类型：Main Profile</w:t>
            </w:r>
          </w:p>
          <w:p>
            <w:pPr>
              <w:widowControl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Smart265编码：主码流支持</w:t>
            </w:r>
          </w:p>
          <w:p>
            <w:pPr>
              <w:widowControl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1、码率控制：定码率，变码率 SVC：支持</w:t>
            </w:r>
          </w:p>
          <w:p>
            <w:pPr>
              <w:widowControl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ROI：支持主码流设置1个固定区域</w:t>
            </w:r>
          </w:p>
          <w:p>
            <w:pPr>
              <w:widowControl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smart功能</w:t>
            </w:r>
          </w:p>
          <w:p>
            <w:pPr>
              <w:widowControl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报警触发：移动侦测，遮挡报警，异常</w:t>
            </w:r>
          </w:p>
          <w:p>
            <w:pPr>
              <w:widowControl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网络</w:t>
            </w:r>
          </w:p>
          <w:p>
            <w:pPr>
              <w:widowControl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同时预览路数：最多6路</w:t>
            </w:r>
          </w:p>
          <w:p>
            <w:pPr>
              <w:widowControl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接口协议（API）：开放型网络视频接口，ISAPI，SDK，GB28181（2016）</w:t>
            </w:r>
          </w:p>
          <w:p>
            <w:pPr>
              <w:widowControl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网络协议：TCP/IP，ICMP，HTTP，HTTPS，FTP，DHCP，DNS，DDNS，RTP，RTSP，NTP，UPnP，SMTP，IGMP，802.1X，QoS，IPv6，UDP，Bonjour，SSL/TLS</w:t>
            </w:r>
          </w:p>
          <w:p>
            <w:pPr>
              <w:widowControl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日夜转换模式：白天，夜晚，自动，定时切换</w:t>
            </w:r>
          </w:p>
          <w:p>
            <w:pPr>
              <w:widowControl/>
              <w:jc w:val="left"/>
              <w:textAlignment w:val="center"/>
              <w:rPr>
                <w:rFonts w:hint="default"/>
                <w:lang w:val="en-US"/>
              </w:rPr>
            </w:pPr>
            <w:r>
              <w:rPr>
                <w:rFonts w:hint="eastAsia"/>
                <w:lang w:val="en-US" w:eastAsia="zh-CN"/>
              </w:rPr>
              <w:t>*2智能警戒：区域入侵侦测，越界侦测，进入区域侦测，离开区域侦测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15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94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硬盘录像机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*3、32路、配合8T监控硬盘使用</w:t>
            </w:r>
          </w:p>
          <w:p>
            <w:pPr>
              <w:widowControl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2、</w:t>
            </w:r>
            <w:r>
              <w:rPr>
                <w:rFonts w:hint="default"/>
                <w:lang w:val="en-US" w:eastAsia="zh-CN"/>
              </w:rPr>
              <w:t>硬盘支持全面升级，支持满配8T硬盘，进一步延长录像时间；</w:t>
            </w:r>
          </w:p>
          <w:p>
            <w:pPr>
              <w:widowControl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平台接入协议丰富，支持萤石、Ehome以及GB28181协议，轻松实现平台接入；</w:t>
            </w:r>
          </w:p>
          <w:p>
            <w:pPr>
              <w:widowControl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接口一应俱全，满足各类外设接入需求；</w:t>
            </w:r>
          </w:p>
          <w:p>
            <w:pPr>
              <w:widowControl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1.5U 标准机箱，支持机架安装；</w:t>
            </w:r>
          </w:p>
          <w:p>
            <w:pPr>
              <w:widowControl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*4、</w:t>
            </w:r>
            <w:r>
              <w:rPr>
                <w:rFonts w:hint="default"/>
                <w:lang w:val="en-US" w:eastAsia="zh-CN"/>
              </w:rPr>
              <w:t>4盘位，最大支持8TB硬盘</w:t>
            </w:r>
          </w:p>
          <w:p>
            <w:pPr>
              <w:widowControl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3、</w:t>
            </w:r>
            <w:r>
              <w:rPr>
                <w:rFonts w:hint="default"/>
                <w:lang w:val="en-US" w:eastAsia="zh-CN"/>
              </w:rPr>
              <w:t>支持1个HDMI 4K输出 +1个VGA同源高清1080P输出</w:t>
            </w:r>
          </w:p>
          <w:p>
            <w:pPr>
              <w:widowControl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支持8路1080P解码</w:t>
            </w:r>
          </w:p>
          <w:p>
            <w:pPr>
              <w:widowControl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支持H.265、H.264混合解码，最大支持接入8MP高清IPC</w:t>
            </w:r>
          </w:p>
          <w:p>
            <w:pPr>
              <w:widowControl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2</w:t>
            </w:r>
            <w:r>
              <w:rPr>
                <w:rFonts w:hint="default"/>
                <w:lang w:val="en-US" w:eastAsia="zh-CN"/>
              </w:rPr>
              <w:t>个千兆网口</w:t>
            </w:r>
          </w:p>
          <w:p>
            <w:pPr>
              <w:widowControl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支持PoE即插即用，可接入8路或16路PoE IPC；</w:t>
            </w:r>
          </w:p>
          <w:p>
            <w:pPr>
              <w:widowControl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default"/>
                <w:lang w:val="en-US" w:eastAsia="zh-CN"/>
              </w:rPr>
              <w:t>自带16进4出报警口</w:t>
            </w:r>
          </w:p>
          <w:p>
            <w:pPr>
              <w:widowControl/>
              <w:jc w:val="left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18"/>
                <w:szCs w:val="18"/>
                <w:u w:val="none"/>
                <w:lang w:val="en-US"/>
              </w:rPr>
            </w:pPr>
            <w:r>
              <w:rPr>
                <w:rFonts w:hint="default"/>
                <w:lang w:val="en-US" w:eastAsia="zh-CN"/>
              </w:rPr>
              <w:t>2个USB2.0接口+1个USB3.0接口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28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硬盘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*5、8T监控级硬盘  缓存</w:t>
            </w:r>
            <w:r>
              <w:rPr>
                <w:rFonts w:hint="default"/>
                <w:lang w:val="en-US" w:eastAsia="zh-CN"/>
              </w:rPr>
              <w:t>≥</w:t>
            </w:r>
            <w:r>
              <w:rPr>
                <w:rFonts w:hint="eastAsia"/>
                <w:lang w:val="en-US" w:eastAsia="zh-CN"/>
              </w:rPr>
              <w:t>256MB   转速</w:t>
            </w:r>
            <w:r>
              <w:rPr>
                <w:rFonts w:hint="default"/>
                <w:lang w:val="en-US" w:eastAsia="zh-CN"/>
              </w:rPr>
              <w:t>≥</w:t>
            </w:r>
            <w:r>
              <w:rPr>
                <w:rFonts w:hint="eastAsia"/>
                <w:lang w:val="en-US" w:eastAsia="zh-CN"/>
              </w:rPr>
              <w:t>7200rpm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块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网线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 xml:space="preserve">4、国标 六类防水网线，单股铜芯直径≥0.51mm。 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1530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POE交换机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5、8个10/100Base-TX以太网端口（PoE+），2个10/100/1000Base-T以太网端口和2个复用的100/1000Base-X SFP端口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POE交换机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6、5个10/100Base-TX以太网端口（PoE+）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等线" w:hAnsi="等线" w:eastAsia="等线" w:cs="等线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4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台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00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pvc埋线管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t>7、25Ф、国标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135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米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11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线路布放施工费</w:t>
            </w:r>
          </w:p>
        </w:tc>
        <w:tc>
          <w:tcPr>
            <w:tcW w:w="586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宋体" w:hAnsi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8、</w:t>
            </w: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18"/>
                <w:szCs w:val="18"/>
                <w:u w:val="none"/>
                <w:lang w:val="en-US" w:eastAsia="zh-CN"/>
              </w:rPr>
              <w:t>包含安装、调试及水晶头，电工胶布、电子标签、等各类施工所需辅材</w:t>
            </w:r>
          </w:p>
        </w:tc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1</w:t>
            </w:r>
          </w:p>
        </w:tc>
        <w:tc>
          <w:tcPr>
            <w:tcW w:w="61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等线" w:hAnsi="等线" w:eastAsia="等线" w:cs="等线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等线" w:hAnsi="等线" w:eastAsia="等线" w:cs="等线"/>
                <w:i w:val="0"/>
                <w:color w:val="000000"/>
                <w:kern w:val="0"/>
                <w:sz w:val="22"/>
                <w:szCs w:val="22"/>
                <w:u w:val="none"/>
                <w:lang w:val="en-US" w:eastAsia="zh-CN"/>
              </w:rPr>
              <w:t>项</w:t>
            </w:r>
          </w:p>
        </w:tc>
      </w:tr>
    </w:tbl>
    <w:p>
      <w:pPr>
        <w:widowControl/>
        <w:spacing w:line="460" w:lineRule="exact"/>
        <w:ind w:hanging="20"/>
        <w:jc w:val="center"/>
        <w:rPr>
          <w:rFonts w:hint="eastAsia" w:ascii="宋体" w:hAnsi="宋体"/>
          <w:b/>
          <w:sz w:val="44"/>
          <w:szCs w:val="44"/>
        </w:rPr>
      </w:pPr>
    </w:p>
    <w:p>
      <w:pPr>
        <w:pStyle w:val="2"/>
        <w:rPr>
          <w:rFonts w:hint="eastAsia" w:ascii="宋体" w:hAnsi="宋体"/>
          <w:b/>
          <w:sz w:val="44"/>
          <w:szCs w:val="44"/>
        </w:rPr>
      </w:pPr>
    </w:p>
    <w:p>
      <w:pPr>
        <w:pStyle w:val="2"/>
        <w:rPr>
          <w:rFonts w:hint="eastAsia" w:ascii="宋体" w:hAnsi="宋体"/>
          <w:b/>
          <w:sz w:val="44"/>
          <w:szCs w:val="44"/>
        </w:rPr>
      </w:pPr>
    </w:p>
    <w:p>
      <w:pPr>
        <w:pStyle w:val="2"/>
        <w:rPr>
          <w:rFonts w:hint="eastAsia" w:ascii="宋体" w:hAnsi="宋体"/>
          <w:b/>
          <w:sz w:val="44"/>
          <w:szCs w:val="44"/>
        </w:rPr>
      </w:pPr>
    </w:p>
    <w:p>
      <w:pPr>
        <w:pStyle w:val="2"/>
        <w:rPr>
          <w:rFonts w:hint="eastAsia" w:ascii="宋体" w:hAnsi="宋体"/>
          <w:b/>
          <w:sz w:val="44"/>
          <w:szCs w:val="44"/>
        </w:rPr>
      </w:pPr>
    </w:p>
    <w:p>
      <w:pPr>
        <w:pStyle w:val="2"/>
        <w:rPr>
          <w:rFonts w:hint="eastAsia" w:ascii="宋体" w:hAnsi="宋体"/>
          <w:b/>
          <w:sz w:val="44"/>
          <w:szCs w:val="44"/>
        </w:rPr>
      </w:pPr>
    </w:p>
    <w:p>
      <w:pPr>
        <w:pStyle w:val="2"/>
        <w:rPr>
          <w:rFonts w:hint="eastAsia" w:ascii="宋体" w:hAnsi="宋体"/>
          <w:b/>
          <w:sz w:val="44"/>
          <w:szCs w:val="44"/>
        </w:rPr>
      </w:pPr>
    </w:p>
    <w:p>
      <w:pPr>
        <w:pStyle w:val="2"/>
        <w:rPr>
          <w:rFonts w:hint="eastAsia" w:ascii="宋体" w:hAnsi="宋体"/>
          <w:b/>
          <w:sz w:val="44"/>
          <w:szCs w:val="44"/>
        </w:rPr>
      </w:pPr>
    </w:p>
    <w:p>
      <w:pPr>
        <w:pStyle w:val="2"/>
        <w:rPr>
          <w:rFonts w:hint="eastAsia" w:ascii="宋体" w:hAnsi="宋体"/>
          <w:b/>
          <w:sz w:val="44"/>
          <w:szCs w:val="44"/>
        </w:rPr>
      </w:pPr>
    </w:p>
    <w:p>
      <w:pPr>
        <w:pStyle w:val="2"/>
        <w:rPr>
          <w:rFonts w:hint="eastAsia" w:ascii="宋体" w:hAnsi="宋体"/>
          <w:b/>
          <w:sz w:val="44"/>
          <w:szCs w:val="44"/>
        </w:rPr>
      </w:pPr>
    </w:p>
    <w:p>
      <w:pPr>
        <w:widowControl/>
        <w:spacing w:line="460" w:lineRule="exact"/>
        <w:ind w:hanging="20"/>
        <w:jc w:val="center"/>
        <w:rPr>
          <w:rFonts w:hint="eastAsia" w:ascii="宋体" w:hAnsi="宋体"/>
          <w:b/>
          <w:sz w:val="44"/>
          <w:szCs w:val="44"/>
        </w:rPr>
      </w:pPr>
      <w:r>
        <w:rPr>
          <w:rFonts w:hint="eastAsia" w:ascii="宋体" w:hAnsi="宋体"/>
          <w:b/>
          <w:sz w:val="44"/>
          <w:szCs w:val="44"/>
        </w:rPr>
        <w:t>三、商务要求</w:t>
      </w:r>
    </w:p>
    <w:p>
      <w:pPr>
        <w:widowControl/>
        <w:spacing w:line="460" w:lineRule="exact"/>
        <w:ind w:hanging="20"/>
        <w:jc w:val="left"/>
        <w:rPr>
          <w:rFonts w:hint="eastAsia" w:ascii="宋体" w:hAnsi="宋体"/>
          <w:b/>
          <w:sz w:val="28"/>
          <w:szCs w:val="28"/>
        </w:rPr>
      </w:pPr>
    </w:p>
    <w:p>
      <w:pPr>
        <w:pStyle w:val="5"/>
        <w:numPr>
          <w:ilvl w:val="0"/>
          <w:numId w:val="2"/>
        </w:numPr>
        <w:spacing w:before="0" w:line="440" w:lineRule="exact"/>
        <w:ind w:left="0" w:leftChars="0" w:firstLine="280" w:firstLineChars="100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对供应商资质要求：</w:t>
      </w:r>
    </w:p>
    <w:p>
      <w:pPr>
        <w:pStyle w:val="5"/>
        <w:numPr>
          <w:numId w:val="0"/>
        </w:numPr>
        <w:spacing w:before="0" w:line="360" w:lineRule="auto"/>
        <w:ind w:leftChars="100"/>
        <w:rPr>
          <w:rFonts w:hint="eastAsia" w:ascii="Calibri" w:hAnsi="Calibri"/>
          <w:kern w:val="2"/>
          <w:sz w:val="28"/>
          <w:szCs w:val="28"/>
          <w:lang w:val="en-US" w:eastAsia="zh-CN" w:bidi="ar-SA"/>
        </w:rPr>
      </w:pPr>
      <w:r>
        <w:rPr>
          <w:rFonts w:hint="eastAsia" w:ascii="Calibri" w:hAnsi="Calibri"/>
          <w:kern w:val="2"/>
          <w:sz w:val="28"/>
          <w:szCs w:val="28"/>
          <w:lang w:val="en-US" w:eastAsia="zh-CN" w:bidi="ar-SA"/>
        </w:rPr>
        <w:t>（1）具有企业法人营业执照；</w:t>
      </w:r>
    </w:p>
    <w:p>
      <w:pPr>
        <w:pStyle w:val="5"/>
        <w:spacing w:before="0" w:line="360" w:lineRule="auto"/>
        <w:ind w:left="0" w:leftChars="0" w:firstLine="280" w:firstLineChars="100"/>
        <w:rPr>
          <w:rFonts w:hint="eastAsia" w:ascii="Calibri" w:hAnsi="Calibri"/>
          <w:kern w:val="2"/>
          <w:sz w:val="28"/>
          <w:szCs w:val="28"/>
          <w:lang w:val="en-US" w:eastAsia="zh-CN" w:bidi="ar-SA"/>
        </w:rPr>
      </w:pPr>
      <w:r>
        <w:rPr>
          <w:rFonts w:hint="eastAsia" w:ascii="Calibri" w:hAnsi="Calibri"/>
          <w:kern w:val="2"/>
          <w:sz w:val="28"/>
          <w:szCs w:val="28"/>
          <w:lang w:val="en-US" w:eastAsia="zh-CN" w:bidi="ar-SA"/>
        </w:rPr>
        <w:t>（2）具有税务登记证、组织机构代码证（若供应商提供了“三证合一”的新版营业执照，无需另行提供税务登记证、组织机构代码证）；</w:t>
      </w:r>
    </w:p>
    <w:p>
      <w:pPr>
        <w:spacing w:line="360" w:lineRule="auto"/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2、交货期（工期）：</w:t>
      </w:r>
      <w:r>
        <w:rPr>
          <w:rFonts w:hint="eastAsia"/>
          <w:sz w:val="28"/>
          <w:szCs w:val="28"/>
          <w:lang w:val="en-US" w:eastAsia="zh-CN"/>
        </w:rPr>
        <w:t>1</w:t>
      </w:r>
      <w:r>
        <w:rPr>
          <w:rFonts w:hint="eastAsia"/>
          <w:sz w:val="28"/>
          <w:szCs w:val="28"/>
        </w:rPr>
        <w:t>个月</w:t>
      </w:r>
    </w:p>
    <w:p>
      <w:pPr>
        <w:spacing w:line="360" w:lineRule="auto"/>
        <w:rPr>
          <w:rFonts w:hint="eastAsia" w:eastAsia="宋体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</w:rPr>
        <w:t>3、免费质保期：</w:t>
      </w:r>
      <w:r>
        <w:rPr>
          <w:rFonts w:hint="eastAsia"/>
          <w:sz w:val="28"/>
          <w:szCs w:val="28"/>
          <w:lang w:val="en-US" w:eastAsia="zh-CN"/>
        </w:rPr>
        <w:t>三年</w:t>
      </w:r>
    </w:p>
    <w:p>
      <w:pPr>
        <w:spacing w:line="360" w:lineRule="auto"/>
        <w:rPr>
          <w:rFonts w:hint="eastAsia"/>
          <w:bCs/>
          <w:sz w:val="28"/>
          <w:szCs w:val="28"/>
          <w:lang w:eastAsia="zh-CN"/>
        </w:rPr>
      </w:pPr>
      <w:r>
        <w:rPr>
          <w:rFonts w:hint="eastAsia"/>
          <w:sz w:val="28"/>
          <w:szCs w:val="28"/>
        </w:rPr>
        <w:t>4、付款方式：</w:t>
      </w:r>
      <w:r>
        <w:rPr>
          <w:rFonts w:hint="eastAsia"/>
          <w:bCs/>
          <w:sz w:val="28"/>
          <w:szCs w:val="28"/>
        </w:rPr>
        <w:t>验收合格</w:t>
      </w:r>
      <w:r>
        <w:rPr>
          <w:rFonts w:hint="eastAsia"/>
          <w:bCs/>
          <w:sz w:val="28"/>
          <w:szCs w:val="28"/>
          <w:lang w:val="en-US" w:eastAsia="zh-CN"/>
        </w:rPr>
        <w:t>30日后</w:t>
      </w:r>
      <w:r>
        <w:rPr>
          <w:rFonts w:hint="eastAsia"/>
          <w:bCs/>
          <w:sz w:val="28"/>
          <w:szCs w:val="28"/>
        </w:rPr>
        <w:t>，支付合同总价的</w:t>
      </w:r>
      <w:r>
        <w:rPr>
          <w:rFonts w:hint="eastAsia"/>
          <w:bCs/>
          <w:sz w:val="28"/>
          <w:szCs w:val="28"/>
          <w:lang w:val="en-US" w:eastAsia="zh-CN"/>
        </w:rPr>
        <w:t>95</w:t>
      </w:r>
      <w:r>
        <w:rPr>
          <w:rFonts w:hint="eastAsia"/>
          <w:bCs/>
          <w:sz w:val="28"/>
          <w:szCs w:val="28"/>
        </w:rPr>
        <w:t>%，余款</w:t>
      </w:r>
      <w:r>
        <w:rPr>
          <w:rFonts w:hint="eastAsia"/>
          <w:bCs/>
          <w:sz w:val="28"/>
          <w:szCs w:val="28"/>
          <w:lang w:val="en-US" w:eastAsia="zh-CN"/>
        </w:rPr>
        <w:t>5%</w:t>
      </w:r>
      <w:r>
        <w:rPr>
          <w:rFonts w:hint="eastAsia"/>
          <w:bCs/>
          <w:sz w:val="28"/>
          <w:szCs w:val="28"/>
        </w:rPr>
        <w:t>质保期满之后</w:t>
      </w:r>
      <w:r>
        <w:rPr>
          <w:rFonts w:hint="eastAsia"/>
          <w:bCs/>
          <w:sz w:val="28"/>
          <w:szCs w:val="28"/>
          <w:lang w:val="en-US" w:eastAsia="zh-CN"/>
        </w:rPr>
        <w:t>1</w:t>
      </w:r>
      <w:r>
        <w:rPr>
          <w:rFonts w:hint="eastAsia"/>
          <w:bCs/>
          <w:sz w:val="28"/>
          <w:szCs w:val="28"/>
        </w:rPr>
        <w:t>个月内付清</w:t>
      </w:r>
      <w:r>
        <w:rPr>
          <w:rFonts w:hint="eastAsia"/>
          <w:bCs/>
          <w:sz w:val="28"/>
          <w:szCs w:val="28"/>
          <w:lang w:eastAsia="zh-CN"/>
        </w:rPr>
        <w:t>。</w:t>
      </w:r>
    </w:p>
    <w:p>
      <w:pPr>
        <w:numPr>
          <w:numId w:val="0"/>
        </w:numPr>
        <w:rPr>
          <w:rFonts w:hint="default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Calibri">
    <w:panose1 w:val="020F0502020204030204"/>
    <w:charset w:val="00"/>
    <w:family w:val="auto"/>
    <w:pitch w:val="default"/>
    <w:sig w:usb0="E00002FF" w:usb1="4000ACFF" w:usb2="00000001" w:usb3="00000000" w:csb0="2000019F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  <w:font w:name="Symbol">
    <w:panose1 w:val="05050102010706020507"/>
    <w:charset w:val="02"/>
    <w:family w:val="auto"/>
    <w:pitch w:val="default"/>
    <w:sig w:usb0="00000000" w:usb1="00000000" w:usb2="00000000" w:usb3="00000000" w:csb0="80000000" w:csb1="00000000"/>
  </w:font>
  <w:font w:name="等线">
    <w:altName w:val="宋体"/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2499927902">
    <w:nsid w:val="9501DF5E"/>
    <w:multiLevelType w:val="singleLevel"/>
    <w:tmpl w:val="9501DF5E"/>
    <w:lvl w:ilvl="0" w:tentative="1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889854204">
    <w:nsid w:val="E7DA76FC"/>
    <w:multiLevelType w:val="singleLevel"/>
    <w:tmpl w:val="E7DA76FC"/>
    <w:lvl w:ilvl="0" w:tentative="1">
      <w:start w:val="1"/>
      <w:numFmt w:val="decimal"/>
      <w:suff w:val="nothing"/>
      <w:lvlText w:val="%1、"/>
      <w:lvlJc w:val="left"/>
    </w:lvl>
  </w:abstractNum>
  <w:num w:numId="1">
    <w:abstractNumId w:val="2499927902"/>
  </w:num>
  <w:num w:numId="2">
    <w:abstractNumId w:val="388985420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4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uiCompat97To2003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156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semiHidden="0" w:name="annotation subject"/>
    <w:lsdException w:unhideWhenUsed="0" w:uiPriority="0" w:semiHidden="0" w:name="Balloon Text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paragraph" w:styleId="2">
    <w:name w:val="Body Text"/>
    <w:basedOn w:val="1"/>
    <w:uiPriority w:val="0"/>
    <w:pPr>
      <w:jc w:val="left"/>
    </w:pPr>
    <w:rPr>
      <w:rFonts w:ascii="Arial" w:hAnsi="Arial" w:eastAsia="黑体"/>
      <w:b/>
      <w:sz w:val="32"/>
    </w:r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customStyle="1" w:styleId="5">
    <w:name w:val="哈哈正文"/>
    <w:basedOn w:val="1"/>
    <w:qFormat/>
    <w:uiPriority w:val="0"/>
    <w:pPr>
      <w:widowControl/>
      <w:spacing w:before="119" w:line="360" w:lineRule="auto"/>
      <w:ind w:left="567" w:firstLine="420" w:firstLineChars="232"/>
    </w:pPr>
    <w:rPr>
      <w:rFonts w:ascii="宋体" w:hAnsi="宋体"/>
      <w:sz w:val="24"/>
    </w:rPr>
  </w:style>
  <w:style w:type="character" w:customStyle="1" w:styleId="6">
    <w:name w:val="font41"/>
    <w:basedOn w:val="4"/>
    <w:uiPriority w:val="0"/>
    <w:rPr>
      <w:rFonts w:hint="default" w:ascii="Wingdings 2" w:hAnsi="Wingdings 2" w:eastAsia="Wingdings 2" w:cs="Wingdings 2"/>
      <w:color w:val="000000"/>
      <w:sz w:val="18"/>
      <w:szCs w:val="18"/>
      <w:u w:val="none"/>
    </w:rPr>
  </w:style>
  <w:style w:type="character" w:customStyle="1" w:styleId="7">
    <w:name w:val="font31"/>
    <w:basedOn w:val="4"/>
    <w:uiPriority w:val="0"/>
    <w:rPr>
      <w:rFonts w:hint="eastAsia" w:ascii="宋体" w:hAnsi="宋体" w:eastAsia="宋体" w:cs="宋体"/>
      <w:color w:val="000000"/>
      <w:sz w:val="18"/>
      <w:szCs w:val="18"/>
      <w:u w:val="none"/>
    </w:rPr>
  </w:style>
  <w:style w:type="character" w:customStyle="1" w:styleId="8">
    <w:name w:val="font51"/>
    <w:basedOn w:val="4"/>
    <w:qFormat/>
    <w:uiPriority w:val="0"/>
    <w:rPr>
      <w:rFonts w:ascii="Symbol" w:hAnsi="Symbol" w:cs="Symbol"/>
      <w:color w:val="000000"/>
      <w:sz w:val="18"/>
      <w:szCs w:val="18"/>
      <w:u w:val="none"/>
    </w:rPr>
  </w:style>
  <w:style w:type="character" w:customStyle="1" w:styleId="9">
    <w:name w:val="font61"/>
    <w:basedOn w:val="4"/>
    <w:uiPriority w:val="0"/>
    <w:rPr>
      <w:rFonts w:ascii="Arial" w:hAnsi="Arial" w:cs="Arial"/>
      <w:color w:val="000000"/>
      <w:sz w:val="18"/>
      <w:szCs w:val="18"/>
      <w:u w:val="none"/>
    </w:rPr>
  </w:style>
  <w:style w:type="character" w:customStyle="1" w:styleId="10">
    <w:name w:val="font71"/>
    <w:basedOn w:val="4"/>
    <w:qFormat/>
    <w:uiPriority w:val="0"/>
    <w:rPr>
      <w:rFonts w:ascii="Arial" w:hAnsi="Arial" w:cs="Arial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fontTable" Target="fontTable.xml"/><Relationship Id="rId2" Type="http://schemas.openxmlformats.org/officeDocument/2006/relationships/styles" Target="styles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customXml" Target="../customXml/item1.xml"/><Relationship Id="rId6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 专业版_9.1.0.4688_{F1E327BC-269C-435d-A152-05C5408002CA}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2020-10-21T00:06:00Z</dcterms:created>
  <dc:creator>Administrator</dc:creator>
  <cp:lastModifiedBy>Administrator</cp:lastModifiedBy>
  <cp:lastPrinted>2020-10-22T06:06:00Z</cp:lastPrinted>
  <dcterms:modified xsi:type="dcterms:W3CDTF">2021-04-23T08:59:36Z</dcterms:modified>
  <dc:title>人民医院视频监控系统升级改造需求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2052-9.1.0.4688</vt:lpwstr>
  </property>
  <property fmtid="{D5CDD505-2E9C-101B-9397-08002B2CF9AE}" pid="3" name="ICV">
    <vt:lpwstr>C1D0750E8DDC40FFA0433E91C07C973D</vt:lpwstr>
  </property>
</Properties>
</file>