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5"/>
      </w:pPr>
      <w:r>
        <w:t>窗体顶端</w:t>
      </w:r>
    </w:p>
    <w:p>
      <w:pPr>
        <w:pStyle w:val="6"/>
      </w:pPr>
    </w:p>
    <w:p>
      <w:pPr>
        <w:pStyle w:val="6"/>
      </w:pPr>
      <w:r>
        <w:t>窗体底端</w:t>
      </w:r>
    </w:p>
    <w:tbl>
      <w:tblPr>
        <w:tblpPr w:leftFromText="180" w:rightFromText="180" w:vertAnchor="text" w:horzAnchor="page" w:tblpX="915" w:tblpY="-944"/>
        <w:tblOverlap w:val="never"/>
        <w:tblW w:w="100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10"/>
        <w:gridCol w:w="2535"/>
        <w:gridCol w:w="2160"/>
        <w:gridCol w:w="1590"/>
        <w:gridCol w:w="1455"/>
        <w:gridCol w:w="17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序号</w:t>
            </w:r>
          </w:p>
        </w:tc>
        <w:tc>
          <w:tcPr>
            <w:tcW w:w="25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物料名称</w:t>
            </w:r>
          </w:p>
        </w:tc>
        <w:tc>
          <w:tcPr>
            <w:tcW w:w="21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规格型号</w:t>
            </w:r>
          </w:p>
        </w:tc>
        <w:tc>
          <w:tcPr>
            <w:tcW w:w="15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预计年需求数量</w:t>
            </w:r>
          </w:p>
        </w:tc>
        <w:tc>
          <w:tcPr>
            <w:tcW w:w="1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单价</w:t>
            </w:r>
          </w:p>
        </w:tc>
        <w:tc>
          <w:tcPr>
            <w:tcW w:w="17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预计采购成本（元）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1</w:t>
            </w:r>
          </w:p>
        </w:tc>
        <w:tc>
          <w:tcPr>
            <w:tcW w:w="2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医用钢瓶氧</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40L/瓶</w:t>
            </w:r>
          </w:p>
        </w:tc>
        <w:tc>
          <w:tcPr>
            <w:tcW w:w="15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1200瓶</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rPr>
              <w:t>53元/瓶</w:t>
            </w:r>
          </w:p>
        </w:tc>
        <w:tc>
          <w:tcPr>
            <w:tcW w:w="17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rPr>
              <w:t>63600</w:t>
            </w:r>
          </w:p>
        </w:tc>
      </w:tr>
    </w:tbl>
    <w:p>
      <w:pPr>
        <w:pStyle w:val="3"/>
        <w:widowControl/>
        <w:wordWrap/>
        <w:adjustRightInd/>
        <w:snapToGrid/>
        <w:spacing w:beforeAutospacing="0" w:afterAutospacing="0"/>
        <w:textAlignment w:val="auto"/>
        <w:rPr>
          <w:rFonts w:hint="eastAsia" w:eastAsia="宋体"/>
          <w:b/>
          <w:bCs/>
          <w:lang w:eastAsia="zh-CN"/>
        </w:rPr>
      </w:pPr>
      <w:r>
        <w:rPr>
          <w:b/>
          <w:bCs/>
        </w:rPr>
        <w:t>投标人资格</w:t>
      </w:r>
      <w:r>
        <w:rPr>
          <w:rFonts w:hint="eastAsia"/>
          <w:b/>
          <w:bCs/>
          <w:lang w:eastAsia="zh-CN"/>
        </w:rPr>
        <w:t>：</w:t>
      </w:r>
    </w:p>
    <w:p>
      <w:pPr>
        <w:pStyle w:val="3"/>
        <w:widowControl/>
        <w:numPr>
          <w:ilvl w:val="0"/>
          <w:numId w:val="1"/>
        </w:numPr>
        <w:wordWrap/>
        <w:adjustRightInd w:val="0"/>
        <w:snapToGrid/>
        <w:spacing w:beforeAutospacing="0" w:afterAutospacing="0"/>
        <w:textAlignment w:val="auto"/>
      </w:pPr>
      <w:r>
        <w:t>在中华人民共和国关境内注册的独立法人企业,具有有效的营业执照并有能力供货的产品制造商或经销/代理商；</w:t>
      </w:r>
    </w:p>
    <w:p>
      <w:pPr>
        <w:pStyle w:val="3"/>
        <w:widowControl/>
        <w:wordWrap/>
        <w:adjustRightInd w:val="0"/>
        <w:snapToGrid/>
        <w:spacing w:beforeAutospacing="0" w:afterAutospacing="0"/>
        <w:textAlignment w:val="auto"/>
        <w:rPr>
          <w:rFonts w:hint="eastAsia" w:eastAsia="宋体"/>
          <w:lang w:eastAsia="zh-CN"/>
        </w:rPr>
      </w:pPr>
      <w:r>
        <w:t>2、独立投标人若为制造商，须同时具备以下（1）和（3）和（4）证书；独立投标人若为代理商，须同时具备以下（2）和（3）和（4）证书</w:t>
      </w:r>
      <w:r>
        <w:rPr>
          <w:rFonts w:hint="eastAsia"/>
          <w:lang w:eastAsia="zh-CN"/>
        </w:rPr>
        <w:t>；</w:t>
      </w:r>
    </w:p>
    <w:p>
      <w:pPr>
        <w:pStyle w:val="3"/>
        <w:widowControl/>
        <w:wordWrap/>
        <w:adjustRightInd w:val="0"/>
        <w:snapToGrid/>
        <w:spacing w:beforeAutospacing="0" w:afterAutospacing="0"/>
        <w:textAlignment w:val="auto"/>
      </w:pPr>
      <w:r>
        <w:t>（1）具有有效的《药品生产许可证》(生产范围包含医用液氧)、有效的医用液氧药品GMP证书（若投标单位证书已到期不能审核的，须出具等同其审核通过的资质证明文件）和有效的医用液氧药品注册批件；</w:t>
      </w:r>
    </w:p>
    <w:p>
      <w:pPr>
        <w:pStyle w:val="3"/>
        <w:widowControl/>
        <w:wordWrap/>
        <w:adjustRightInd w:val="0"/>
        <w:snapToGrid/>
        <w:spacing w:beforeAutospacing="0" w:afterAutospacing="0"/>
        <w:textAlignment w:val="auto"/>
      </w:pPr>
      <w:r>
        <w:t>（2）具有有效的《药品经营许可证》；</w:t>
      </w:r>
    </w:p>
    <w:p>
      <w:pPr>
        <w:pStyle w:val="3"/>
        <w:widowControl/>
        <w:wordWrap/>
        <w:adjustRightInd w:val="0"/>
        <w:snapToGrid/>
        <w:spacing w:beforeAutospacing="0" w:afterAutospacing="0"/>
        <w:textAlignment w:val="auto"/>
      </w:pPr>
      <w:r>
        <w:t>（3）具有有效的《危险化学品经营许可证》或有效的《安全生产许可证》</w:t>
      </w:r>
    </w:p>
    <w:p>
      <w:pPr>
        <w:pStyle w:val="3"/>
        <w:widowControl/>
        <w:wordWrap/>
        <w:adjustRightInd w:val="0"/>
        <w:snapToGrid/>
        <w:spacing w:beforeAutospacing="0" w:afterAutospacing="0"/>
        <w:textAlignment w:val="auto"/>
      </w:pPr>
      <w:r>
        <w:t>（4）具有有效的《道路运输经营许可证》（经营范围包括化学品或者危险货物运输）或有效</w:t>
      </w:r>
      <w:r>
        <w:rPr>
          <w:rFonts w:hint="eastAsia"/>
          <w:lang w:val="en-US" w:eastAsia="zh-CN"/>
        </w:rPr>
        <w:t>的</w:t>
      </w:r>
      <w:r>
        <w:t>《道路危险货物运输许可证》；</w:t>
      </w:r>
    </w:p>
    <w:p>
      <w:pPr>
        <w:pStyle w:val="3"/>
        <w:widowControl/>
        <w:wordWrap/>
        <w:adjustRightInd w:val="0"/>
        <w:snapToGrid/>
        <w:spacing w:beforeAutospacing="0" w:afterAutospacing="0"/>
        <w:textAlignment w:val="auto"/>
      </w:pPr>
      <w:r>
        <w:t>3、经销/代理商投标时，须提供所投产品制造商（也可由制造商的中国销售公司或产品全国总代理公司或区域代理公司出具，但须同时提供能证明出具授权的单位具有相应合法代理身份的有效证明）针对本次投标出具的有效授权书（函）；</w:t>
      </w:r>
    </w:p>
    <w:p>
      <w:pPr>
        <w:pStyle w:val="3"/>
        <w:widowControl/>
        <w:wordWrap/>
        <w:adjustRightInd w:val="0"/>
        <w:snapToGrid/>
        <w:spacing w:beforeAutospacing="0" w:afterAutospacing="0"/>
        <w:textAlignment w:val="auto"/>
      </w:pPr>
      <w:r>
        <w:rPr>
          <w:rFonts w:hint="eastAsia"/>
          <w:lang w:val="en-US" w:eastAsia="zh-CN"/>
        </w:rPr>
        <w:t>4</w:t>
      </w:r>
      <w:r>
        <w:t>、具有良好的售后服务体系；</w:t>
      </w:r>
    </w:p>
    <w:p>
      <w:pPr>
        <w:wordWrap/>
        <w:adjustRightInd w:val="0"/>
        <w:snapToGrid/>
        <w:spacing w:beforeAutospacing="0" w:afterAutospacing="0"/>
        <w:jc w:val="left"/>
        <w:textAlignment w:val="auto"/>
      </w:pPr>
      <w:r>
        <w:rPr>
          <w:rFonts w:hint="eastAsia"/>
          <w:lang w:val="en-US" w:eastAsia="zh-CN"/>
        </w:rPr>
        <w:t>5</w:t>
      </w:r>
      <w:r>
        <w:t>、本项目不接受联合体投标。</w:t>
      </w:r>
      <w:bookmarkStart w:id="0" w:name="_GoBack"/>
      <w:bookmarkEnd w:id="0"/>
    </w:p>
    <w:p>
      <w:pPr>
        <w:pStyle w:val="2"/>
        <w:wordWrap/>
        <w:adjustRightInd w:val="0"/>
        <w:snapToGrid/>
        <w:spacing w:beforeAutospacing="0" w:afterAutospacing="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6、符合《中华人民共和国政府采购法》第二十二条规定；</w:t>
      </w:r>
    </w:p>
    <w:p>
      <w:pPr>
        <w:wordWrap/>
        <w:adjustRightInd/>
        <w:snapToGrid/>
        <w:spacing w:beforeAutospacing="0" w:afterAutospacing="0"/>
        <w:jc w:val="left"/>
        <w:textAlignment w:val="auto"/>
        <w:rPr>
          <w:rFonts w:hint="eastAsia"/>
          <w:lang w:val="en-US" w:eastAsia="zh-CN"/>
        </w:rPr>
      </w:pPr>
    </w:p>
    <w:p>
      <w:pPr>
        <w:wordWrap/>
        <w:adjustRightInd/>
        <w:snapToGrid/>
        <w:spacing w:beforeAutospacing="0" w:afterAutospacing="0" w:line="320" w:lineRule="exact"/>
        <w:textAlignment w:val="auto"/>
        <w:rPr>
          <w:rFonts w:hint="eastAsia"/>
          <w:b/>
          <w:bCs/>
          <w:sz w:val="24"/>
          <w:szCs w:val="24"/>
          <w:lang w:val="en-US" w:eastAsia="zh-CN"/>
        </w:rPr>
      </w:pPr>
      <w:r>
        <w:rPr>
          <w:rFonts w:hint="eastAsia"/>
          <w:b/>
          <w:bCs/>
          <w:sz w:val="24"/>
          <w:szCs w:val="24"/>
          <w:lang w:val="en-US" w:eastAsia="zh-CN"/>
        </w:rPr>
        <w:t>付款方式：</w:t>
      </w:r>
    </w:p>
    <w:p>
      <w:pPr>
        <w:wordWrap/>
        <w:adjustRightInd/>
        <w:snapToGrid/>
        <w:spacing w:beforeAutospacing="0" w:afterAutospacing="0" w:line="320" w:lineRule="exact"/>
        <w:ind w:firstLine="480" w:firstLineChars="200"/>
        <w:textAlignment w:val="auto"/>
        <w:rPr>
          <w:rFonts w:hint="eastAsia" w:ascii="宋体" w:hAnsi="宋体" w:cs="宋体"/>
          <w:sz w:val="24"/>
          <w:szCs w:val="24"/>
        </w:rPr>
      </w:pPr>
      <w:r>
        <w:rPr>
          <w:rFonts w:hint="eastAsia" w:ascii="宋体" w:hAnsi="宋体" w:cs="宋体"/>
          <w:sz w:val="24"/>
          <w:szCs w:val="24"/>
        </w:rPr>
        <w:t>根据实际供货量乘以单价进行支付，每批供货完毕验收合格后</w:t>
      </w:r>
      <w:r>
        <w:rPr>
          <w:rFonts w:hint="eastAsia" w:ascii="宋体" w:hAnsi="宋体" w:cs="宋体"/>
          <w:sz w:val="24"/>
          <w:szCs w:val="24"/>
          <w:lang w:val="en-US" w:eastAsia="zh-CN"/>
        </w:rPr>
        <w:t>6</w:t>
      </w:r>
      <w:r>
        <w:rPr>
          <w:rFonts w:hint="eastAsia" w:ascii="宋体" w:hAnsi="宋体" w:cs="宋体"/>
          <w:sz w:val="24"/>
          <w:szCs w:val="24"/>
        </w:rPr>
        <w:t>个月支付该批次合同款。</w:t>
      </w:r>
    </w:p>
    <w:p>
      <w:pPr>
        <w:wordWrap/>
        <w:adjustRightInd/>
        <w:snapToGrid/>
        <w:spacing w:beforeAutospacing="0" w:afterAutospacing="0"/>
        <w:jc w:val="left"/>
        <w:textAlignment w:val="auto"/>
        <w:rPr>
          <w:rFonts w:hint="default" w:eastAsia="宋体"/>
          <w:lang w:val="en-US" w:eastAsia="zh-CN"/>
        </w:rPr>
      </w:pPr>
    </w:p>
    <w:p>
      <w:pPr>
        <w:pStyle w:val="2"/>
        <w:rPr>
          <w:rFonts w:hint="eastAsia" w:ascii="宋体" w:hAnsi="宋体" w:eastAsia="宋体" w:cs="宋体"/>
          <w:b w:val="0"/>
          <w:bCs/>
          <w:sz w:val="24"/>
          <w:szCs w:val="24"/>
          <w:lang w:val="en-US" w:eastAsia="zh-CN"/>
        </w:rPr>
      </w:pPr>
      <w:r>
        <w:rPr>
          <w:rFonts w:hint="eastAsia" w:ascii="宋体" w:hAnsi="宋体" w:eastAsia="宋体" w:cs="宋体"/>
          <w:b/>
          <w:bCs w:val="0"/>
          <w:sz w:val="24"/>
          <w:szCs w:val="24"/>
          <w:lang w:val="en-US" w:eastAsia="zh-CN"/>
        </w:rPr>
        <w:t>注</w:t>
      </w:r>
      <w:r>
        <w:rPr>
          <w:rFonts w:hint="eastAsia" w:ascii="宋体" w:hAnsi="宋体" w:eastAsia="宋体" w:cs="宋体"/>
          <w:b w:val="0"/>
          <w:bCs/>
          <w:sz w:val="24"/>
          <w:szCs w:val="24"/>
          <w:lang w:val="en-US" w:eastAsia="zh-CN"/>
        </w:rPr>
        <w:t>：</w:t>
      </w:r>
    </w:p>
    <w:p>
      <w:pPr>
        <w:pStyle w:val="2"/>
        <w:ind w:firstLine="480" w:firstLineChars="200"/>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清单中所列货物数量为年度需求量，中标人根据医院实际需求配送不同规格、单位的货物。</w:t>
      </w: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329060401">
    <w:nsid w:val="C66D6E31"/>
    <w:multiLevelType w:val="singleLevel"/>
    <w:tmpl w:val="C66D6E31"/>
    <w:lvl w:ilvl="0" w:tentative="1">
      <w:start w:val="1"/>
      <w:numFmt w:val="decimal"/>
      <w:suff w:val="nothing"/>
      <w:lvlText w:val="%1、"/>
      <w:lvlJc w:val="left"/>
    </w:lvl>
  </w:abstractNum>
  <w:num w:numId="1">
    <w:abstractNumId w:val="332906040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qFormat/>
    <w:uiPriority w:val="0"/>
  </w:style>
  <w:style w:type="paragraph" w:styleId="2">
    <w:name w:val="Body Text"/>
    <w:basedOn w:val="1"/>
    <w:qFormat/>
    <w:uiPriority w:val="0"/>
    <w:pPr>
      <w:jc w:val="left"/>
    </w:pPr>
    <w:rPr>
      <w:rFonts w:ascii="Arial" w:hAnsi="Arial" w:eastAsia="黑体"/>
      <w:b/>
      <w:kern w:val="0"/>
      <w:sz w:val="32"/>
      <w:szCs w:val="20"/>
    </w:rPr>
  </w:style>
  <w:style w:type="paragraph" w:styleId="3">
    <w:name w:val="Normal (Web)"/>
    <w:basedOn w:val="1"/>
    <w:uiPriority w:val="0"/>
    <w:pPr>
      <w:spacing w:before="0" w:beforeAutospacing="1" w:after="0" w:afterAutospacing="1"/>
      <w:ind w:left="0" w:right="0"/>
      <w:jc w:val="left"/>
    </w:pPr>
    <w:rPr>
      <w:kern w:val="0"/>
      <w:sz w:val="24"/>
      <w:lang w:val="en-US" w:eastAsia="zh-CN"/>
    </w:rPr>
  </w:style>
  <w:style w:type="paragraph" w:customStyle="1" w:styleId="5">
    <w:name w:val="_Style 5"/>
    <w:basedOn w:val="1"/>
    <w:next w:val="1"/>
    <w:uiPriority w:val="0"/>
    <w:pPr>
      <w:pBdr>
        <w:bottom w:val="single" w:color="auto" w:sz="6" w:space="1"/>
      </w:pBdr>
      <w:jc w:val="center"/>
    </w:pPr>
    <w:rPr>
      <w:rFonts w:ascii="Arial" w:eastAsia="宋体"/>
      <w:vanish/>
      <w:sz w:val="16"/>
    </w:rPr>
  </w:style>
  <w:style w:type="paragraph" w:customStyle="1" w:styleId="6">
    <w:name w:val="_Style 6"/>
    <w:basedOn w:val="1"/>
    <w:next w:val="1"/>
    <w:uiPriority w:val="0"/>
    <w:pPr>
      <w:pBdr>
        <w:top w:val="single" w:color="auto" w:sz="6" w:space="1"/>
      </w:pBdr>
      <w:jc w:val="center"/>
    </w:pPr>
    <w:rPr>
      <w:rFonts w:ascii="Arial" w:eastAsia="宋体"/>
      <w:vanish/>
      <w:sz w:val="16"/>
    </w:rPr>
  </w:style>
  <w:style w:type="paragraph" w:customStyle="1" w:styleId="7">
    <w:name w:val="List Paragraph"/>
    <w:basedOn w:val="1"/>
    <w:qFormat/>
    <w:uiPriority w:val="34"/>
    <w:pPr>
      <w:ind w:firstLine="420" w:firstLineChars="200"/>
    </w:pPr>
  </w:style>
  <w:style w:type="character" w:customStyle="1" w:styleId="8">
    <w:name w:val="font51"/>
    <w:basedOn w:val="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2021-02-24T07:51:00Z</dcterms:created>
  <dc:creator>zhangyishun</dc:creator>
  <cp:lastModifiedBy>Administrator</cp:lastModifiedBy>
  <cp:lastPrinted>2021-03-04T02:59:00Z</cp:lastPrinted>
  <dcterms:modified xsi:type="dcterms:W3CDTF">2021-03-04T06:58:50Z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