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30"/>
          <w:szCs w:val="30"/>
          <w:lang w:val="en-US" w:eastAsia="zh-CN"/>
        </w:rPr>
        <w:t xml:space="preserve"> </w:t>
      </w:r>
      <w:r>
        <w:rPr>
          <w:rFonts w:hint="eastAsia"/>
          <w:b/>
          <w:bCs/>
          <w:sz w:val="28"/>
          <w:szCs w:val="28"/>
          <w:lang w:val="en-US" w:eastAsia="zh-CN"/>
        </w:rPr>
        <w:t>我院采购的一次性使用植入式给药装置留置针需满足以下要求：</w:t>
      </w:r>
    </w:p>
    <w:p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总体要求</w:t>
      </w:r>
    </w:p>
    <w:p>
      <w:pPr>
        <w:numPr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1、需具有医疗器械注册证</w:t>
      </w:r>
    </w:p>
    <w:p>
      <w:pPr>
        <w:numPr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2、需具有医疗器械生产或经营许可证</w:t>
      </w:r>
    </w:p>
    <w:p>
      <w:pPr>
        <w:numPr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3、需提供厂家生产说明书以及产品检测报告</w:t>
      </w:r>
    </w:p>
    <w:p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技术要求</w:t>
      </w:r>
    </w:p>
    <w:p>
      <w:pPr>
        <w:numPr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见产品技术要求附件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商务要求</w:t>
      </w:r>
    </w:p>
    <w:p>
      <w:pPr>
        <w:numPr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1、交货期：本项目须按招标方采购需求要求进行分批次交货。自合同签订后，按招标方通知之日起48小时内按采购需求进行交货。并必须按要求配送至指定地点。</w:t>
      </w:r>
    </w:p>
    <w:p>
      <w:pPr>
        <w:numPr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2、售后保障服务：货物如外包装出现破损须负责退换。如货物出现质量问题，中标方须在1小时内进行响应，2小时内到达现场并解决相应问题。</w:t>
      </w:r>
    </w:p>
    <w:p>
      <w:pPr>
        <w:numPr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3、若出现2次质量问题将取消供应商此次中标。</w:t>
      </w:r>
    </w:p>
    <w:p>
      <w:pPr>
        <w:numPr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4、付款按我院财务流程支付100%款项。</w:t>
      </w:r>
    </w:p>
    <w:p>
      <w:pPr>
        <w:ind w:firstLine="315" w:firstLineChars="150"/>
      </w:pPr>
    </w:p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3028280153">
    <w:nsid w:val="B47FE359"/>
    <w:multiLevelType w:val="singleLevel"/>
    <w:tmpl w:val="B47FE359"/>
    <w:lvl w:ilvl="0" w:tentative="1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02828015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Relationship Id="rId6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2020-04-09T03:23:00Z</dcterms:created>
  <dc:creator>日光晴</dc:creator>
  <cp:lastModifiedBy>Administrator</cp:lastModifiedBy>
  <cp:lastPrinted>2020-08-28T01:08:00Z</cp:lastPrinted>
  <dcterms:modified xsi:type="dcterms:W3CDTF">2020-11-18T00:22:05Z</dcterms:modified>
  <dc:title> 我院采购的一次性使用植入式给药装置留置针需满足以下要求：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