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rPr>
          <w:rFonts w:hint="eastAsia" w:ascii="仿宋" w:hAnsi="仿宋" w:eastAsia="仿宋" w:cs="黑体"/>
          <w:sz w:val="24"/>
        </w:rPr>
      </w:pPr>
      <w:bookmarkStart w:id="0" w:name="_GoBack"/>
      <w:bookmarkEnd w:id="0"/>
    </w:p>
    <w:tbl>
      <w:tblPr>
        <w:tblpPr w:leftFromText="180" w:rightFromText="180" w:vertAnchor="text" w:horzAnchor="page" w:tblpX="915" w:tblpY="-944"/>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0"/>
        <w:gridCol w:w="2535"/>
        <w:gridCol w:w="2160"/>
        <w:gridCol w:w="1590"/>
        <w:gridCol w:w="1455"/>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序号</w:t>
            </w:r>
          </w:p>
        </w:tc>
        <w:tc>
          <w:tcPr>
            <w:tcW w:w="25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物料名称</w:t>
            </w:r>
          </w:p>
        </w:tc>
        <w:tc>
          <w:tcPr>
            <w:tcW w:w="21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规格型号</w:t>
            </w:r>
          </w:p>
        </w:tc>
        <w:tc>
          <w:tcPr>
            <w:tcW w:w="15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预计年需求数量</w:t>
            </w:r>
          </w:p>
        </w:tc>
        <w:tc>
          <w:tcPr>
            <w:tcW w:w="1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单价</w:t>
            </w:r>
          </w:p>
        </w:tc>
        <w:tc>
          <w:tcPr>
            <w:tcW w:w="17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预计采购成本（元）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洗必泰口腔护理抗菌液</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200-300毫升</w:t>
            </w:r>
            <w:r>
              <w:rPr>
                <w:rStyle w:val="11"/>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200000ml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0.132元/ml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26400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2</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二甲苯</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400-600毫升</w:t>
            </w:r>
            <w:r>
              <w:rPr>
                <w:rStyle w:val="11"/>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250000ml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0.041元/ml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3</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复合过氧乙酸消毒液</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3000-5000毫升</w:t>
            </w:r>
            <w:r>
              <w:rPr>
                <w:rStyle w:val="11"/>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125000ml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0.116元/ml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1"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4</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过氧化氢低温等离子体五类卡</w:t>
            </w:r>
            <w:r>
              <w:rPr>
                <w:rStyle w:val="11"/>
                <w:rFonts w:hint="eastAsia" w:ascii="仿宋" w:hAnsi="仿宋" w:eastAsia="仿宋" w:cs="仿宋"/>
                <w:sz w:val="21"/>
                <w:szCs w:val="21"/>
                <w:lang w:val="en-US" w:eastAsia="zh-CN"/>
              </w:rPr>
              <w:t>(728)</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w:t>
            </w:r>
            <w:r>
              <w:rPr>
                <w:rStyle w:val="10"/>
                <w:rFonts w:hint="eastAsia" w:ascii="仿宋" w:hAnsi="仿宋" w:eastAsia="仿宋" w:cs="仿宋"/>
                <w:sz w:val="21"/>
                <w:szCs w:val="21"/>
                <w:lang w:val="en-US" w:eastAsia="zh-CN"/>
              </w:rPr>
              <w:t>支</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1800支</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64元/支</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115200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9"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5</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含氯消毒片</w:t>
            </w:r>
            <w:r>
              <w:rPr>
                <w:rStyle w:val="11"/>
                <w:rFonts w:hint="eastAsia" w:ascii="仿宋" w:hAnsi="仿宋" w:eastAsia="仿宋" w:cs="仿宋"/>
                <w:sz w:val="21"/>
                <w:szCs w:val="21"/>
                <w:lang w:val="en-US" w:eastAsia="zh-CN"/>
              </w:rPr>
              <w:t>(II</w:t>
            </w:r>
            <w:r>
              <w:rPr>
                <w:rStyle w:val="10"/>
                <w:rFonts w:hint="eastAsia" w:ascii="仿宋" w:hAnsi="仿宋" w:eastAsia="仿宋" w:cs="仿宋"/>
                <w:sz w:val="21"/>
                <w:szCs w:val="21"/>
                <w:lang w:val="en-US" w:eastAsia="zh-CN"/>
              </w:rPr>
              <w:t>型</w:t>
            </w:r>
            <w:r>
              <w:rPr>
                <w:rStyle w:val="11"/>
                <w:rFonts w:hint="eastAsia" w:ascii="仿宋" w:hAnsi="仿宋" w:eastAsia="仿宋" w:cs="仿宋"/>
                <w:sz w:val="21"/>
                <w:szCs w:val="21"/>
                <w:lang w:val="en-US" w:eastAsia="zh-CN"/>
              </w:rPr>
              <w:t>)</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1"/>
                <w:rFonts w:hint="eastAsia" w:ascii="仿宋" w:hAnsi="仿宋" w:eastAsia="仿宋" w:cs="仿宋"/>
                <w:sz w:val="21"/>
                <w:szCs w:val="21"/>
                <w:lang w:val="en-US" w:eastAsia="zh-CN"/>
              </w:rPr>
              <w:t>50-100</w:t>
            </w:r>
            <w:r>
              <w:rPr>
                <w:rStyle w:val="10"/>
                <w:rFonts w:hint="eastAsia" w:ascii="仿宋" w:hAnsi="仿宋" w:eastAsia="仿宋" w:cs="仿宋"/>
                <w:sz w:val="21"/>
                <w:szCs w:val="21"/>
                <w:lang w:val="en-US" w:eastAsia="zh-CN"/>
              </w:rPr>
              <w:t>片</w:t>
            </w:r>
            <w:r>
              <w:rPr>
                <w:rStyle w:val="11"/>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300000片</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0.1元/片</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30000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合计</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196300</w:t>
            </w:r>
          </w:p>
        </w:tc>
      </w:tr>
    </w:tbl>
    <w:p>
      <w:pPr>
        <w:pStyle w:val="3"/>
        <w:widowControl/>
        <w:rPr>
          <w:rFonts w:hint="default"/>
          <w:b/>
          <w:bCs/>
          <w:color w:val="FF0000"/>
          <w:lang w:val="en-US" w:eastAsia="zh-CN"/>
        </w:rPr>
      </w:pPr>
      <w:r>
        <w:rPr>
          <w:rFonts w:hint="eastAsia"/>
          <w:b/>
          <w:bCs/>
          <w:color w:val="FF0000"/>
          <w:lang w:val="en-US" w:eastAsia="zh-CN"/>
        </w:rPr>
        <w:t xml:space="preserve"> </w:t>
      </w:r>
    </w:p>
    <w:p>
      <w:pPr>
        <w:pStyle w:val="3"/>
        <w:widowControl/>
        <w:rPr>
          <w:rFonts w:hint="eastAsia" w:ascii="仿宋" w:hAnsi="仿宋" w:eastAsia="仿宋" w:cs="仿宋"/>
          <w:b/>
          <w:bCs/>
          <w:snapToGrid w:val="0"/>
          <w:color w:val="FF0000"/>
          <w:sz w:val="24"/>
          <w:szCs w:val="28"/>
          <w:lang w:val="en-US" w:eastAsia="zh-CN"/>
        </w:rPr>
      </w:pPr>
      <w:r>
        <w:rPr>
          <w:rFonts w:hint="eastAsia" w:ascii="仿宋" w:hAnsi="仿宋" w:eastAsia="仿宋" w:cs="仿宋"/>
          <w:b/>
          <w:bCs/>
          <w:snapToGrid w:val="0"/>
          <w:color w:val="FF0000"/>
          <w:sz w:val="24"/>
          <w:szCs w:val="28"/>
          <w:lang w:val="en-US" w:eastAsia="zh-CN"/>
        </w:rPr>
        <w:t>产品信息：</w:t>
      </w:r>
    </w:p>
    <w:p>
      <w:pPr>
        <w:pStyle w:val="3"/>
        <w:widowControl/>
        <w:numPr>
          <w:ilvl w:val="0"/>
          <w:numId w:val="1"/>
        </w:numPr>
        <w:rPr>
          <w:rFonts w:hint="eastAsia" w:ascii="仿宋" w:hAnsi="仿宋" w:eastAsia="仿宋" w:cs="仿宋"/>
          <w:b/>
          <w:bCs/>
          <w:snapToGrid w:val="0"/>
          <w:color w:val="FF0000"/>
          <w:sz w:val="24"/>
          <w:szCs w:val="28"/>
          <w:lang w:val="en-US" w:eastAsia="zh-CN"/>
        </w:rPr>
      </w:pPr>
      <w:r>
        <w:rPr>
          <w:rFonts w:hint="eastAsia" w:ascii="仿宋" w:hAnsi="仿宋" w:eastAsia="仿宋" w:cs="仿宋"/>
          <w:b/>
          <w:bCs/>
          <w:snapToGrid w:val="0"/>
          <w:color w:val="FF0000"/>
          <w:sz w:val="24"/>
          <w:szCs w:val="28"/>
          <w:lang w:val="en-US" w:eastAsia="zh-CN"/>
        </w:rPr>
        <w:t>含氯消毒片（II型）主要成分有效氯含量为500±50mg/片。可杀灭肠道致病菌，化脓性球菌，分歧杆菌和细菌芽孢，并可灭活病毒。适用于一般污染物品及环境，传染病人污物消毒，疫源地消毒，一般硬质物体表面消毒，游泳池水消毒。</w:t>
      </w:r>
    </w:p>
    <w:p>
      <w:pPr>
        <w:pStyle w:val="3"/>
        <w:widowControl/>
        <w:numPr>
          <w:ilvl w:val="0"/>
          <w:numId w:val="1"/>
        </w:numPr>
        <w:rPr>
          <w:rFonts w:hint="eastAsia" w:ascii="仿宋" w:hAnsi="仿宋" w:eastAsia="仿宋" w:cs="仿宋"/>
          <w:b/>
          <w:bCs/>
          <w:snapToGrid w:val="0"/>
          <w:color w:val="FF0000"/>
          <w:sz w:val="24"/>
          <w:szCs w:val="28"/>
          <w:lang w:val="en-US" w:eastAsia="zh-CN"/>
        </w:rPr>
      </w:pPr>
      <w:r>
        <w:rPr>
          <w:rFonts w:hint="eastAsia" w:ascii="仿宋" w:hAnsi="仿宋" w:eastAsia="仿宋" w:cs="仿宋"/>
          <w:b/>
          <w:bCs/>
          <w:snapToGrid w:val="0"/>
          <w:color w:val="FF0000"/>
          <w:sz w:val="24"/>
          <w:szCs w:val="28"/>
          <w:lang w:val="en-US" w:eastAsia="zh-CN"/>
        </w:rPr>
        <w:t>二甲苯：浓度≥99%，病理科主要使用制剂，用作溶剂，稀释剂，脱水，脱蜡等。</w:t>
      </w:r>
    </w:p>
    <w:p>
      <w:pPr>
        <w:pStyle w:val="3"/>
        <w:widowControl/>
        <w:numPr>
          <w:ilvl w:val="0"/>
          <w:numId w:val="1"/>
        </w:numPr>
        <w:rPr>
          <w:rFonts w:hint="eastAsia" w:ascii="仿宋" w:hAnsi="仿宋" w:eastAsia="仿宋" w:cs="仿宋"/>
          <w:b/>
          <w:bCs/>
          <w:snapToGrid w:val="0"/>
          <w:color w:val="FF0000"/>
          <w:sz w:val="24"/>
          <w:szCs w:val="28"/>
          <w:lang w:val="en-US" w:eastAsia="zh-CN"/>
        </w:rPr>
      </w:pPr>
      <w:r>
        <w:rPr>
          <w:rFonts w:hint="eastAsia" w:ascii="仿宋" w:hAnsi="仿宋" w:eastAsia="仿宋" w:cs="仿宋"/>
          <w:b/>
          <w:bCs/>
          <w:snapToGrid w:val="0"/>
          <w:color w:val="FF0000"/>
          <w:sz w:val="24"/>
          <w:szCs w:val="28"/>
          <w:lang w:val="en-US" w:eastAsia="zh-CN"/>
        </w:rPr>
        <w:t>复合过氧乙酸消毒液：以过氧乙酸、过氧化氢为主要有效成分的消毒剂，过氧乙酸含量为2.7gL-3.3g/L，过氧化氢含量为37.8g-46.2g/L,可杀灭细菌芽孢。主要用于医疗器械(如内镜)的高水平消毒与灭菌。</w:t>
      </w:r>
    </w:p>
    <w:p>
      <w:pPr>
        <w:pStyle w:val="3"/>
        <w:widowControl/>
        <w:numPr>
          <w:ilvl w:val="0"/>
          <w:numId w:val="1"/>
        </w:numPr>
        <w:rPr>
          <w:rFonts w:hint="eastAsia" w:ascii="仿宋" w:hAnsi="仿宋" w:eastAsia="仿宋" w:cs="仿宋"/>
          <w:snapToGrid w:val="0"/>
          <w:color w:val="FF0000"/>
          <w:sz w:val="24"/>
          <w:szCs w:val="28"/>
          <w:u w:val="none"/>
        </w:rPr>
      </w:pPr>
      <w:r>
        <w:rPr>
          <w:rFonts w:hint="eastAsia" w:ascii="仿宋" w:hAnsi="仿宋" w:eastAsia="仿宋" w:cs="仿宋"/>
          <w:b/>
          <w:bCs/>
          <w:snapToGrid w:val="0"/>
          <w:color w:val="FF0000"/>
          <w:sz w:val="24"/>
          <w:szCs w:val="28"/>
          <w:lang w:val="en-US" w:eastAsia="zh-CN"/>
        </w:rPr>
        <w:t>洗必泰口腔护理抗菌液主要成分：葡萄糖酸氯己定，含量为0.108%-0.12%，对化胺性球菌、肠道致病菌、致病性酵母菌和医院感染常见细菌有杀菌作用。用于口腔抗菌，减少口腔致病微生物定植；有效去除异味，保持口腔清洁卫生。</w:t>
      </w:r>
    </w:p>
    <w:p>
      <w:pPr>
        <w:pStyle w:val="3"/>
        <w:widowControl/>
        <w:numPr>
          <w:ilvl w:val="0"/>
          <w:numId w:val="1"/>
        </w:numPr>
        <w:rPr>
          <w:rFonts w:hint="eastAsia" w:ascii="仿宋" w:hAnsi="仿宋" w:eastAsia="仿宋" w:cs="仿宋"/>
          <w:b/>
          <w:bCs/>
          <w:snapToGrid w:val="0"/>
          <w:color w:val="FF0000"/>
          <w:sz w:val="24"/>
          <w:szCs w:val="24"/>
          <w:u w:val="none"/>
        </w:rPr>
      </w:pPr>
      <w:r>
        <w:rPr>
          <w:rFonts w:hint="eastAsia" w:ascii="仿宋" w:hAnsi="仿宋" w:eastAsia="仿宋" w:cs="仿宋"/>
          <w:b/>
          <w:bCs/>
          <w:i w:val="0"/>
          <w:snapToGrid w:val="0"/>
          <w:color w:val="FF0000"/>
          <w:kern w:val="0"/>
          <w:sz w:val="24"/>
          <w:szCs w:val="24"/>
          <w:u w:val="none"/>
          <w:lang w:val="en-US" w:eastAsia="zh-CN"/>
        </w:rPr>
        <w:t>过氧化氢低温等离子体五类卡</w:t>
      </w:r>
      <w:r>
        <w:rPr>
          <w:rStyle w:val="11"/>
          <w:rFonts w:hint="eastAsia" w:ascii="仿宋" w:hAnsi="仿宋" w:eastAsia="仿宋" w:cs="仿宋"/>
          <w:b/>
          <w:bCs/>
          <w:snapToGrid w:val="0"/>
          <w:color w:val="FF0000"/>
          <w:sz w:val="24"/>
          <w:szCs w:val="24"/>
          <w:lang w:val="en-US" w:eastAsia="zh-CN"/>
        </w:rPr>
        <w:t>(728)：</w:t>
      </w:r>
      <w:r>
        <w:rPr>
          <w:rFonts w:hint="eastAsia" w:ascii="仿宋" w:hAnsi="仿宋" w:eastAsia="仿宋" w:cs="仿宋"/>
          <w:b/>
          <w:bCs/>
          <w:snapToGrid w:val="0"/>
          <w:color w:val="FF0000"/>
          <w:kern w:val="0"/>
          <w:sz w:val="24"/>
          <w:szCs w:val="24"/>
          <w:lang w:val="en-US" w:eastAsia="zh-CN"/>
        </w:rPr>
        <w:fldChar w:fldCharType="begin"/>
      </w:r>
      <w:r>
        <w:rPr>
          <w:rFonts w:hint="eastAsia" w:ascii="仿宋" w:hAnsi="仿宋" w:eastAsia="仿宋" w:cs="仿宋"/>
          <w:b/>
          <w:bCs/>
          <w:snapToGrid w:val="0"/>
          <w:color w:val="FF0000"/>
          <w:kern w:val="0"/>
          <w:sz w:val="24"/>
          <w:szCs w:val="24"/>
          <w:lang w:val="en-US" w:eastAsia="zh-CN"/>
        </w:rPr>
        <w:instrText xml:space="preserve"> HYPERLINK "https://www.chinabidding.cn/" \t "https://www.chinabidding.cn/zbgg/_blank" </w:instrText>
      </w:r>
      <w:r>
        <w:rPr>
          <w:rFonts w:hint="eastAsia" w:ascii="仿宋" w:hAnsi="仿宋" w:eastAsia="仿宋" w:cs="仿宋"/>
          <w:b/>
          <w:bCs/>
          <w:snapToGrid w:val="0"/>
          <w:color w:val="FF0000"/>
          <w:kern w:val="0"/>
          <w:sz w:val="24"/>
          <w:szCs w:val="24"/>
          <w:lang w:val="en-US" w:eastAsia="zh-CN"/>
        </w:rPr>
        <w:fldChar w:fldCharType="separate"/>
      </w:r>
      <w:r>
        <w:rPr>
          <w:rStyle w:val="5"/>
          <w:rFonts w:hint="eastAsia" w:ascii="仿宋" w:hAnsi="仿宋" w:eastAsia="仿宋" w:cs="仿宋"/>
          <w:b/>
          <w:bCs/>
          <w:snapToGrid w:val="0"/>
          <w:color w:val="FF0000"/>
          <w:sz w:val="24"/>
          <w:szCs w:val="24"/>
          <w:u w:val="none"/>
        </w:rPr>
        <w:t>低温包内指示五类卡检测包，用于判读温度，压力是否到达灭菌要求。</w:t>
      </w:r>
    </w:p>
    <w:p>
      <w:pPr>
        <w:widowControl/>
        <w:jc w:val="left"/>
        <w:rPr>
          <w:rFonts w:hint="eastAsia"/>
          <w:b/>
          <w:bCs/>
          <w:color w:val="FF0000"/>
          <w:lang w:val="en-US" w:eastAsia="zh-CN"/>
        </w:rPr>
      </w:pPr>
      <w:r>
        <w:rPr>
          <w:rFonts w:hint="eastAsia" w:ascii="仿宋" w:hAnsi="仿宋" w:eastAsia="仿宋" w:cs="仿宋"/>
          <w:b/>
          <w:bCs/>
          <w:snapToGrid w:val="0"/>
          <w:color w:val="FF0000"/>
          <w:kern w:val="0"/>
          <w:sz w:val="24"/>
          <w:szCs w:val="24"/>
          <w:lang w:val="en-US" w:eastAsia="zh-CN"/>
        </w:rPr>
        <w:fldChar w:fldCharType="end"/>
      </w:r>
    </w:p>
    <w:p>
      <w:pPr>
        <w:pStyle w:val="3"/>
        <w:widowControl/>
        <w:rPr>
          <w:rFonts w:hint="eastAsia"/>
          <w:b/>
          <w:bCs/>
          <w:color w:val="FF0000"/>
          <w:lang w:val="en-US" w:eastAsia="zh-CN"/>
        </w:rPr>
      </w:pPr>
    </w:p>
    <w:p>
      <w:pPr>
        <w:pStyle w:val="3"/>
        <w:widowControl/>
      </w:pPr>
    </w:p>
    <w:p>
      <w:pPr>
        <w:pStyle w:val="3"/>
        <w:widowControl/>
        <w:wordWrap/>
        <w:adjustRightInd/>
        <w:snapToGrid/>
        <w:spacing w:beforeAutospacing="0" w:afterAutospacing="0"/>
        <w:textAlignment w:val="auto"/>
        <w:rPr>
          <w:rFonts w:hint="eastAsia" w:eastAsia="宋体"/>
          <w:b/>
          <w:bCs/>
          <w:lang w:eastAsia="zh-CN"/>
        </w:rPr>
      </w:pPr>
      <w:r>
        <w:rPr>
          <w:b/>
          <w:bCs/>
        </w:rPr>
        <w:t>投标人资格</w:t>
      </w:r>
      <w:r>
        <w:rPr>
          <w:rFonts w:hint="eastAsia"/>
          <w:b/>
          <w:bCs/>
          <w:lang w:eastAsia="zh-CN"/>
        </w:rPr>
        <w:t>：</w:t>
      </w:r>
    </w:p>
    <w:p>
      <w:pPr>
        <w:pStyle w:val="3"/>
        <w:widowControl/>
        <w:wordWrap/>
        <w:adjustRightInd/>
        <w:snapToGrid/>
        <w:spacing w:beforeAutospacing="0" w:afterAutospacing="0"/>
        <w:textAlignment w:val="auto"/>
      </w:pPr>
      <w:r>
        <w:t>1、在中华人民共和国关境内注册的独立法人企业,具有有效的营业执照并有能力供货的产品制造商或经销/代理商；</w:t>
      </w:r>
    </w:p>
    <w:p>
      <w:pPr>
        <w:pStyle w:val="3"/>
        <w:widowControl/>
        <w:wordWrap/>
        <w:adjustRightInd/>
        <w:snapToGrid/>
        <w:spacing w:beforeAutospacing="0" w:afterAutospacing="0"/>
        <w:textAlignment w:val="auto"/>
      </w:pPr>
      <w:r>
        <w:t>2、须具有有效的医疗器械经营许可证（或备案凭证）；</w:t>
      </w:r>
    </w:p>
    <w:p>
      <w:pPr>
        <w:pStyle w:val="3"/>
        <w:widowControl/>
        <w:wordWrap/>
        <w:adjustRightInd/>
        <w:snapToGrid/>
        <w:spacing w:beforeAutospacing="0" w:afterAutospacing="0"/>
        <w:textAlignment w:val="auto"/>
      </w:pPr>
      <w:r>
        <w:t>3、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widowControl/>
        <w:wordWrap/>
        <w:adjustRightInd/>
        <w:snapToGrid/>
        <w:spacing w:beforeAutospacing="0" w:afterAutospacing="0"/>
        <w:textAlignment w:val="auto"/>
        <w:rPr>
          <w:color w:val="FF0000"/>
        </w:rPr>
      </w:pPr>
      <w:r>
        <w:rPr>
          <w:color w:val="FF0000"/>
        </w:rPr>
        <w:t>4、须具有有效的</w:t>
      </w:r>
      <w:r>
        <w:rPr>
          <w:rFonts w:hint="eastAsia"/>
          <w:color w:val="FF0000"/>
          <w:lang w:val="en-US" w:eastAsia="zh-CN"/>
        </w:rPr>
        <w:t>消毒产品生产企业卫生许可证，消毒产品卫生安全评价报告；</w:t>
      </w:r>
    </w:p>
    <w:p>
      <w:pPr>
        <w:pStyle w:val="3"/>
        <w:widowControl/>
        <w:wordWrap/>
        <w:adjustRightInd/>
        <w:snapToGrid/>
        <w:spacing w:beforeAutospacing="0" w:afterAutospacing="0"/>
        <w:textAlignment w:val="auto"/>
      </w:pPr>
      <w:r>
        <w:t>5、具有良好的售后服务体系；</w:t>
      </w:r>
    </w:p>
    <w:p>
      <w:pPr>
        <w:wordWrap/>
        <w:adjustRightInd/>
        <w:snapToGrid/>
        <w:spacing w:beforeAutospacing="0" w:afterAutospacing="0"/>
        <w:jc w:val="left"/>
        <w:textAlignment w:val="auto"/>
      </w:pPr>
      <w:r>
        <w:t>6、本项目不接受联合体投标。</w:t>
      </w:r>
    </w:p>
    <w:p>
      <w:pPr>
        <w:pStyle w:val="2"/>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7、符合《中华人民共和国政府采购法》第二十二条规定；</w:t>
      </w:r>
    </w:p>
    <w:p>
      <w:pPr>
        <w:wordWrap/>
        <w:adjustRightInd/>
        <w:snapToGrid/>
        <w:spacing w:beforeAutospacing="0" w:afterAutospacing="0"/>
        <w:jc w:val="left"/>
        <w:textAlignment w:val="auto"/>
        <w:rPr>
          <w:rFonts w:hint="eastAsia"/>
          <w:lang w:val="en-US" w:eastAsia="zh-CN"/>
        </w:rPr>
      </w:pPr>
    </w:p>
    <w:p>
      <w:pPr>
        <w:wordWrap/>
        <w:adjustRightInd/>
        <w:snapToGrid/>
        <w:spacing w:beforeAutospacing="0" w:afterAutospacing="0" w:line="320" w:lineRule="exact"/>
        <w:textAlignment w:val="auto"/>
        <w:rPr>
          <w:rFonts w:hint="eastAsia"/>
          <w:b/>
          <w:bCs/>
          <w:sz w:val="24"/>
          <w:szCs w:val="24"/>
          <w:lang w:val="en-US" w:eastAsia="zh-CN"/>
        </w:rPr>
      </w:pPr>
      <w:r>
        <w:rPr>
          <w:rFonts w:hint="eastAsia"/>
          <w:b/>
          <w:bCs/>
          <w:sz w:val="24"/>
          <w:szCs w:val="24"/>
          <w:lang w:val="en-US" w:eastAsia="zh-CN"/>
        </w:rPr>
        <w:t>付款方式：</w:t>
      </w:r>
    </w:p>
    <w:p>
      <w:pPr>
        <w:wordWrap/>
        <w:adjustRightInd/>
        <w:snapToGrid/>
        <w:spacing w:beforeAutospacing="0" w:afterAutospacing="0" w:line="320" w:lineRule="exact"/>
        <w:ind w:firstLine="480" w:firstLineChars="200"/>
        <w:textAlignment w:val="auto"/>
        <w:rPr>
          <w:rFonts w:hint="eastAsia" w:ascii="宋体" w:hAnsi="宋体" w:cs="宋体"/>
          <w:sz w:val="24"/>
          <w:szCs w:val="24"/>
        </w:rPr>
      </w:pPr>
      <w:r>
        <w:rPr>
          <w:rFonts w:hint="eastAsia" w:ascii="宋体" w:hAnsi="宋体" w:cs="宋体"/>
          <w:sz w:val="24"/>
          <w:szCs w:val="24"/>
        </w:rPr>
        <w:t>根据实际供货量乘以单价进行支付，每批供货完毕验收合格后</w:t>
      </w:r>
      <w:r>
        <w:rPr>
          <w:rFonts w:hint="eastAsia" w:ascii="宋体" w:hAnsi="宋体" w:cs="宋体"/>
          <w:sz w:val="24"/>
          <w:szCs w:val="24"/>
          <w:lang w:val="en-US" w:eastAsia="zh-CN"/>
        </w:rPr>
        <w:t>6</w:t>
      </w:r>
      <w:r>
        <w:rPr>
          <w:rFonts w:hint="eastAsia" w:ascii="宋体" w:hAnsi="宋体" w:cs="宋体"/>
          <w:sz w:val="24"/>
          <w:szCs w:val="24"/>
        </w:rPr>
        <w:t>个月支付该批次合同款。</w:t>
      </w:r>
    </w:p>
    <w:p>
      <w:pPr>
        <w:wordWrap/>
        <w:adjustRightInd/>
        <w:snapToGrid/>
        <w:spacing w:beforeAutospacing="0" w:afterAutospacing="0"/>
        <w:jc w:val="left"/>
        <w:textAlignment w:val="auto"/>
        <w:rPr>
          <w:rFonts w:hint="default" w:eastAsia="宋体"/>
          <w:lang w:val="en-US" w:eastAsia="zh-CN"/>
        </w:rPr>
      </w:pPr>
    </w:p>
    <w:p>
      <w:pPr>
        <w:pStyle w:val="2"/>
        <w:rPr>
          <w:rFonts w:hint="eastAsia" w:ascii="宋体" w:hAnsi="宋体" w:eastAsia="宋体" w:cs="宋体"/>
          <w:b w:val="0"/>
          <w:bCs/>
          <w:sz w:val="24"/>
          <w:szCs w:val="24"/>
          <w:lang w:val="en-US" w:eastAsia="zh-CN"/>
        </w:rPr>
      </w:pPr>
      <w:r>
        <w:rPr>
          <w:rFonts w:hint="eastAsia" w:ascii="宋体" w:hAnsi="宋体" w:eastAsia="宋体" w:cs="宋体"/>
          <w:b/>
          <w:bCs w:val="0"/>
          <w:sz w:val="24"/>
          <w:szCs w:val="24"/>
          <w:lang w:val="en-US" w:eastAsia="zh-CN"/>
        </w:rPr>
        <w:t>注</w:t>
      </w:r>
      <w:r>
        <w:rPr>
          <w:rFonts w:hint="eastAsia" w:ascii="宋体" w:hAnsi="宋体" w:eastAsia="宋体" w:cs="宋体"/>
          <w:b w:val="0"/>
          <w:bCs/>
          <w:sz w:val="24"/>
          <w:szCs w:val="24"/>
          <w:lang w:val="en-US" w:eastAsia="zh-CN"/>
        </w:rPr>
        <w:t>：</w:t>
      </w:r>
    </w:p>
    <w:p>
      <w:pPr>
        <w:pStyle w:val="2"/>
        <w:ind w:firstLine="480" w:firstLineChars="2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清单中所列货物数量为年度需求量，中标人根据医院实际需求配送不同规格、单位的货物。</w:t>
      </w:r>
    </w:p>
    <w:p>
      <w:pPr>
        <w:pStyle w:val="2"/>
        <w:rPr>
          <w:rFonts w:hint="default"/>
          <w:lang w:val="en-US" w:eastAsia="zh-CN"/>
        </w:rPr>
      </w:pPr>
    </w:p>
    <w:p>
      <w:pPr>
        <w:spacing w:line="400" w:lineRule="exact"/>
        <w:rPr>
          <w:rFonts w:hint="eastAsia"/>
          <w:b/>
          <w:sz w:val="30"/>
          <w:szCs w:val="30"/>
        </w:rPr>
      </w:pPr>
    </w:p>
    <w:p>
      <w:pPr>
        <w:spacing w:line="440" w:lineRule="exact"/>
        <w:ind w:firstLine="210" w:firstLineChars="100"/>
        <w:rPr>
          <w:rFonts w:ascii="宋体" w:hAnsi="宋体"/>
        </w:rPr>
      </w:pPr>
    </w:p>
    <w:p>
      <w:pPr>
        <w:spacing w:line="440" w:lineRule="exact"/>
        <w:ind w:firstLine="210" w:firstLineChars="100"/>
        <w:rPr>
          <w:rFonts w:ascii="宋体" w:hAnsi="宋体"/>
        </w:rPr>
      </w:pPr>
    </w:p>
    <w:p>
      <w:pPr>
        <w:spacing w:line="400" w:lineRule="exact"/>
        <w:rPr>
          <w:u w:val="single"/>
        </w:rPr>
      </w:pPr>
    </w:p>
    <w:p>
      <w:pPr>
        <w:pStyle w:val="2"/>
        <w:rPr>
          <w:rFonts w:hint="default"/>
          <w:lang w:val="en-US" w:eastAsia="zh-CN"/>
        </w:rPr>
      </w:pPr>
    </w:p>
    <w:p>
      <w:pPr>
        <w:pStyle w:val="2"/>
        <w:rPr>
          <w:rFonts w:hint="default"/>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Dialog . plain">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301977233">
    <w:nsid w:val="89356291"/>
    <w:multiLevelType w:val="singleLevel"/>
    <w:tmpl w:val="89356291"/>
    <w:lvl w:ilvl="0" w:tentative="1">
      <w:start w:val="1"/>
      <w:numFmt w:val="decimal"/>
      <w:suff w:val="nothing"/>
      <w:lvlText w:val="%1、"/>
      <w:lvlJc w:val="left"/>
    </w:lvl>
  </w:abstractNum>
  <w:num w:numId="1">
    <w:abstractNumId w:val="23019772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paragraph" w:styleId="2">
    <w:name w:val="Body Text"/>
    <w:basedOn w:val="1"/>
    <w:qFormat/>
    <w:uiPriority w:val="0"/>
    <w:pPr>
      <w:jc w:val="left"/>
    </w:pPr>
    <w:rPr>
      <w:rFonts w:ascii="Arial" w:hAnsi="Arial" w:eastAsia="黑体"/>
      <w:b/>
      <w:kern w:val="0"/>
      <w:sz w:val="32"/>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 w:type="character" w:styleId="5">
    <w:name w:val="Hyperlink"/>
    <w:basedOn w:val="4"/>
    <w:uiPriority w:val="0"/>
    <w:rPr>
      <w:color w:val="0000FF"/>
      <w:u w:val="single"/>
    </w:rPr>
  </w:style>
  <w:style w:type="paragraph" w:customStyle="1" w:styleId="6">
    <w:name w:val="_Style 5"/>
    <w:basedOn w:val="1"/>
    <w:next w:val="1"/>
    <w:qFormat/>
    <w:uiPriority w:val="0"/>
    <w:pPr>
      <w:pBdr>
        <w:bottom w:val="single" w:color="auto" w:sz="6" w:space="1"/>
      </w:pBdr>
      <w:jc w:val="center"/>
    </w:pPr>
    <w:rPr>
      <w:rFonts w:ascii="Arial" w:eastAsia="宋体"/>
      <w:vanish/>
      <w:sz w:val="16"/>
    </w:rPr>
  </w:style>
  <w:style w:type="paragraph" w:customStyle="1" w:styleId="7">
    <w:name w:val="_Style 6"/>
    <w:basedOn w:val="1"/>
    <w:next w:val="1"/>
    <w:qFormat/>
    <w:uiPriority w:val="0"/>
    <w:pPr>
      <w:pBdr>
        <w:top w:val="single" w:color="auto" w:sz="6" w:space="1"/>
      </w:pBdr>
      <w:jc w:val="center"/>
    </w:pPr>
    <w:rPr>
      <w:rFonts w:ascii="Arial" w:eastAsia="宋体"/>
      <w:vanish/>
      <w:sz w:val="16"/>
    </w:rPr>
  </w:style>
  <w:style w:type="paragraph" w:customStyle="1" w:styleId="8">
    <w:name w:val="List Paragraph"/>
    <w:basedOn w:val="1"/>
    <w:qFormat/>
    <w:uiPriority w:val="34"/>
    <w:pPr>
      <w:ind w:firstLine="420" w:firstLineChars="200"/>
    </w:pPr>
  </w:style>
  <w:style w:type="character" w:customStyle="1" w:styleId="9">
    <w:name w:val="font21"/>
    <w:basedOn w:val="4"/>
    <w:qFormat/>
    <w:uiPriority w:val="0"/>
    <w:rPr>
      <w:rFonts w:hint="default" w:ascii="Dialog . plain" w:hAnsi="Dialog . plain" w:eastAsia="Dialog . plain" w:cs="Dialog . plain"/>
      <w:color w:val="000000"/>
      <w:sz w:val="24"/>
      <w:szCs w:val="24"/>
      <w:u w:val="none"/>
    </w:rPr>
  </w:style>
  <w:style w:type="character" w:customStyle="1" w:styleId="10">
    <w:name w:val="font51"/>
    <w:basedOn w:val="4"/>
    <w:qFormat/>
    <w:uiPriority w:val="0"/>
    <w:rPr>
      <w:rFonts w:hint="eastAsia" w:ascii="宋体" w:hAnsi="宋体" w:eastAsia="宋体" w:cs="宋体"/>
      <w:color w:val="000000"/>
      <w:sz w:val="24"/>
      <w:szCs w:val="24"/>
      <w:u w:val="none"/>
    </w:rPr>
  </w:style>
  <w:style w:type="character" w:customStyle="1" w:styleId="11">
    <w:name w:val="font31"/>
    <w:basedOn w:val="4"/>
    <w:qFormat/>
    <w:uiPriority w:val="0"/>
    <w:rPr>
      <w:rFonts w:hint="default" w:ascii="Dialog . plain" w:hAnsi="Dialog . plain" w:eastAsia="Dialog . plain" w:cs="Dialog . plain"/>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2021-02-24T08:39:00Z</dcterms:created>
  <dc:creator>zhangyishun</dc:creator>
  <cp:lastModifiedBy>Administrator</cp:lastModifiedBy>
  <cp:lastPrinted>2021-03-03T06:33:00Z</cp:lastPrinted>
  <dcterms:modified xsi:type="dcterms:W3CDTF">2021-03-11T08:56:30Z</dcterms:modified>
  <dc:title>马鞍山市人民医院院内招标采购申请委托书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