
<file path=[Content_Types].xml><?xml version="1.0" encoding="utf-8"?>
<Types xmlns="http://schemas.openxmlformats.org/package/2006/content-types">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custom-properties+xml" PartName="/docProps/custom.xml"/>
  <Override ContentType="application/vnd.openxmlformats-officedocument.wordprocessingml.document.main+xml" PartName="/word/document.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extended-properties" Target="docProps/app.xml"/><Relationship Id="rId2" Type="http://schemas.openxmlformats.org/package/2006/relationships/metadata/core-properties" Target="docProps/core.xml"/><Relationship Id="rId4" Type="http://schemas.openxmlformats.org/officeDocument/2006/relationships/officeDocument" Target="word/document.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jc w:val="left"/>
        <w:rPr>
          <w:rFonts w:hint="eastAsia" w:ascii="仿宋" w:hAnsi="仿宋" w:eastAsia="仿宋" w:cs="黑体"/>
          <w:sz w:val="24"/>
        </w:rPr>
      </w:pPr>
    </w:p>
    <w:tbl>
      <w:tblPr>
        <w:tblpPr w:leftFromText="180" w:rightFromText="180" w:vertAnchor="text" w:horzAnchor="page" w:tblpX="1702" w:tblpY="-944"/>
        <w:tblOverlap w:val="never"/>
        <w:tblW w:w="9135"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
      <w:tblGrid>
        <w:gridCol w:w="555"/>
        <w:gridCol w:w="1770"/>
        <w:gridCol w:w="2093"/>
        <w:gridCol w:w="1590"/>
        <w:gridCol w:w="1455"/>
        <w:gridCol w:w="1672"/>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70" w:hRule="atLeast"/>
        </w:trPr>
        <w:tc>
          <w:tcPr>
            <w:tcW w:w="5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rPr>
              <w:t>序号</w:t>
            </w:r>
          </w:p>
        </w:tc>
        <w:tc>
          <w:tcPr>
            <w:tcW w:w="177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rPr>
              <w:t>物料名称</w:t>
            </w:r>
          </w:p>
        </w:tc>
        <w:tc>
          <w:tcPr>
            <w:tcW w:w="2093"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ind w:right="153" w:rightChars="73"/>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rPr>
              <w:t>规格型号</w:t>
            </w:r>
          </w:p>
        </w:tc>
        <w:tc>
          <w:tcPr>
            <w:tcW w:w="159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rPr>
              <w:t>预计年需求数量</w:t>
            </w:r>
          </w:p>
        </w:tc>
        <w:tc>
          <w:tcPr>
            <w:tcW w:w="1455"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rPr>
              <w:t>单价</w:t>
            </w:r>
          </w:p>
        </w:tc>
        <w:tc>
          <w:tcPr>
            <w:tcW w:w="1672"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rPr>
              <w:t>预计采购成本</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80" w:hRule="atLeast"/>
        </w:trPr>
        <w:tc>
          <w:tcPr>
            <w:tcW w:w="55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rPr>
              <w:t>1</w:t>
            </w:r>
          </w:p>
        </w:tc>
        <w:tc>
          <w:tcPr>
            <w:tcW w:w="177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rPr>
              <w:t>邻苯二甲醛消毒液</w:t>
            </w:r>
          </w:p>
        </w:tc>
        <w:tc>
          <w:tcPr>
            <w:tcW w:w="2093"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default" w:ascii="仿宋" w:hAnsi="仿宋" w:eastAsia="仿宋" w:cs="仿宋"/>
                <w:i w:val="0"/>
                <w:color w:val="000000"/>
                <w:sz w:val="21"/>
                <w:szCs w:val="21"/>
                <w:u w:val="none"/>
                <w:lang w:val="en-US"/>
              </w:rPr>
            </w:pPr>
            <w:r>
              <w:rPr>
                <w:rStyle w:val="8"/>
                <w:rFonts w:hint="eastAsia" w:ascii="仿宋" w:hAnsi="仿宋" w:eastAsia="仿宋" w:cs="仿宋"/>
                <w:sz w:val="21"/>
                <w:szCs w:val="21"/>
                <w:lang w:val="en-US" w:eastAsia="zh-CN"/>
              </w:rPr>
              <w:t>2500-5000毫升/桶</w:t>
            </w:r>
          </w:p>
        </w:tc>
        <w:tc>
          <w:tcPr>
            <w:tcW w:w="159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default" w:ascii="仿宋" w:hAnsi="仿宋" w:eastAsia="仿宋" w:cs="仿宋"/>
                <w:i w:val="0"/>
                <w:color w:val="000000"/>
                <w:sz w:val="21"/>
                <w:szCs w:val="21"/>
                <w:u w:val="none"/>
                <w:lang w:val="en-US"/>
              </w:rPr>
            </w:pPr>
            <w:r>
              <w:rPr>
                <w:rFonts w:hint="eastAsia" w:ascii="仿宋" w:hAnsi="仿宋" w:eastAsia="仿宋" w:cs="仿宋"/>
                <w:i w:val="0"/>
                <w:color w:val="000000"/>
                <w:kern w:val="0"/>
                <w:sz w:val="21"/>
                <w:szCs w:val="21"/>
                <w:u w:val="none"/>
                <w:lang w:val="en-US" w:eastAsia="zh-CN"/>
              </w:rPr>
              <w:t>2500000</w:t>
            </w:r>
          </w:p>
        </w:tc>
        <w:tc>
          <w:tcPr>
            <w:tcW w:w="145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default" w:ascii="仿宋" w:hAnsi="仿宋" w:eastAsia="仿宋" w:cs="仿宋"/>
                <w:i w:val="0"/>
                <w:color w:val="000000"/>
                <w:sz w:val="21"/>
                <w:szCs w:val="21"/>
                <w:u w:val="none"/>
                <w:lang w:val="en-US"/>
              </w:rPr>
            </w:pPr>
            <w:r>
              <w:rPr>
                <w:rFonts w:hint="eastAsia" w:ascii="仿宋" w:hAnsi="仿宋" w:eastAsia="仿宋" w:cs="仿宋"/>
                <w:i w:val="0"/>
                <w:color w:val="000000"/>
                <w:kern w:val="0"/>
                <w:sz w:val="21"/>
                <w:szCs w:val="21"/>
                <w:u w:val="none"/>
                <w:lang w:val="en-US" w:eastAsia="zh-CN"/>
              </w:rPr>
              <w:t>0.102元/毫升</w:t>
            </w:r>
          </w:p>
        </w:tc>
        <w:tc>
          <w:tcPr>
            <w:tcW w:w="167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ind w:right="397" w:rightChars="189"/>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rPr>
              <w:t>255000</w:t>
            </w:r>
          </w:p>
        </w:tc>
      </w:tr>
    </w:tbl>
    <w:p>
      <w:pPr>
        <w:pStyle w:val="5"/>
      </w:pPr>
      <w:r>
        <w:t>窗体顶端</w:t>
      </w:r>
    </w:p>
    <w:p>
      <w:pPr>
        <w:pStyle w:val="6"/>
      </w:pPr>
    </w:p>
    <w:p>
      <w:pPr>
        <w:pStyle w:val="6"/>
      </w:pPr>
      <w:r>
        <w:t>窗体底端</w:t>
      </w:r>
    </w:p>
    <w:p>
      <w:pPr>
        <w:pStyle w:val="3"/>
        <w:widowControl/>
      </w:pPr>
    </w:p>
    <w:p>
      <w:pPr>
        <w:pStyle w:val="3"/>
        <w:widowControl/>
        <w:rPr>
          <w:rFonts w:hint="eastAsia"/>
          <w:b/>
          <w:bCs/>
          <w:color w:val="FF0000"/>
          <w:lang w:val="en-US" w:eastAsia="zh-CN"/>
        </w:rPr>
      </w:pPr>
      <w:r>
        <w:rPr>
          <w:rFonts w:hint="eastAsia"/>
          <w:b/>
          <w:bCs/>
          <w:color w:val="FF0000"/>
          <w:lang w:val="en-US" w:eastAsia="zh-CN"/>
        </w:rPr>
        <w:t>产品信息：</w:t>
      </w:r>
    </w:p>
    <w:p>
      <w:pPr>
        <w:pStyle w:val="3"/>
        <w:widowControl/>
        <w:numPr>
          <w:ilvl w:val="0"/>
          <w:numId w:val="1"/>
        </w:numPr>
        <w:rPr>
          <w:rFonts w:hint="eastAsia"/>
          <w:color w:val="FF0000"/>
          <w:lang w:val="en-US" w:eastAsia="zh-CN"/>
        </w:rPr>
      </w:pPr>
      <w:r>
        <w:rPr>
          <w:rFonts w:hint="eastAsia"/>
          <w:color w:val="FF0000"/>
          <w:lang w:val="en-US" w:eastAsia="zh-CN"/>
        </w:rPr>
        <w:t>有效成分为正-邻苯二甲醛含量0.5%-0.6%；</w:t>
      </w:r>
    </w:p>
    <w:p>
      <w:pPr>
        <w:pStyle w:val="3"/>
        <w:widowControl/>
        <w:numPr>
          <w:ilvl w:val="0"/>
          <w:numId w:val="1"/>
        </w:numPr>
        <w:rPr>
          <w:rFonts w:hint="default"/>
          <w:color w:val="FF0000"/>
          <w:lang w:val="en-US" w:eastAsia="zh-CN"/>
        </w:rPr>
      </w:pPr>
      <w:r>
        <w:rPr>
          <w:rFonts w:hint="eastAsia"/>
          <w:color w:val="FF0000"/>
          <w:lang w:val="en-US" w:eastAsia="zh-CN"/>
        </w:rPr>
        <w:t>可杀灭肠道致病菌、化脓性球菌、分枝杆菌、致病性酵母菌和细胞芽菌，并能灭活病毒。</w:t>
      </w:r>
    </w:p>
    <w:p>
      <w:pPr>
        <w:pStyle w:val="3"/>
        <w:widowControl/>
        <w:numPr>
          <w:ilvl w:val="0"/>
          <w:numId w:val="1"/>
        </w:numPr>
        <w:rPr>
          <w:rFonts w:hint="default"/>
          <w:color w:val="FF0000"/>
          <w:lang w:val="en-US" w:eastAsia="zh-CN"/>
        </w:rPr>
      </w:pPr>
      <w:r>
        <w:rPr>
          <w:rFonts w:hint="eastAsia"/>
          <w:color w:val="FF0000"/>
          <w:lang w:val="en-US" w:eastAsia="zh-CN"/>
        </w:rPr>
        <w:t>适用于医疗器械的消毒，主要用于内窥镜自动清洗机对内窥镜进行高水平消毒。</w:t>
      </w:r>
    </w:p>
    <w:p>
      <w:pPr>
        <w:pStyle w:val="3"/>
        <w:widowControl/>
        <w:wordWrap/>
        <w:adjustRightInd/>
        <w:snapToGrid/>
        <w:spacing w:beforeAutospacing="0" w:afterAutospacing="0"/>
        <w:textAlignment w:val="auto"/>
        <w:rPr>
          <w:rFonts w:hint="eastAsia" w:eastAsia="宋体"/>
          <w:b/>
          <w:bCs/>
          <w:lang w:eastAsia="zh-CN"/>
        </w:rPr>
      </w:pPr>
      <w:r>
        <w:rPr>
          <w:b/>
          <w:bCs/>
        </w:rPr>
        <w:t>投标人资格</w:t>
      </w:r>
      <w:r>
        <w:rPr>
          <w:rFonts w:hint="eastAsia"/>
          <w:b/>
          <w:bCs/>
          <w:lang w:eastAsia="zh-CN"/>
        </w:rPr>
        <w:t>：</w:t>
      </w:r>
    </w:p>
    <w:p>
      <w:pPr>
        <w:pStyle w:val="3"/>
        <w:widowControl/>
        <w:wordWrap/>
        <w:adjustRightInd/>
        <w:snapToGrid/>
        <w:spacing w:beforeAutospacing="0" w:afterAutospacing="0"/>
        <w:textAlignment w:val="auto"/>
      </w:pPr>
      <w:r>
        <w:t>1、在中华人民共和国关境内注册的独立法人企业,具有有效的营业执照并有能力供货的产品制造商或经销/代理商；</w:t>
      </w:r>
    </w:p>
    <w:p>
      <w:pPr>
        <w:pStyle w:val="3"/>
        <w:widowControl/>
        <w:wordWrap/>
        <w:adjustRightInd/>
        <w:snapToGrid/>
        <w:spacing w:beforeAutospacing="0" w:afterAutospacing="0"/>
        <w:textAlignment w:val="auto"/>
      </w:pPr>
      <w:r>
        <w:t>2、须具有有效的医疗器械经营许可证（或备案凭证）；</w:t>
      </w:r>
    </w:p>
    <w:p>
      <w:pPr>
        <w:pStyle w:val="3"/>
        <w:widowControl/>
        <w:wordWrap/>
        <w:adjustRightInd/>
        <w:snapToGrid/>
        <w:spacing w:beforeAutospacing="0" w:afterAutospacing="0"/>
        <w:textAlignment w:val="auto"/>
      </w:pPr>
      <w:r>
        <w:t>3、经销/代理商投标时，须提供所投产品制造商（也可由制造商的中国销售公司或产品全国总代理公司或区域代理公司出具，但须同时提供能证明出具授权的单位具有相应合法代理身份的有效证明）针对本次投标出具的有效授权书（函）；</w:t>
      </w:r>
    </w:p>
    <w:p>
      <w:pPr>
        <w:pStyle w:val="3"/>
        <w:widowControl/>
        <w:wordWrap/>
        <w:adjustRightInd/>
        <w:snapToGrid/>
        <w:spacing w:beforeAutospacing="0" w:afterAutospacing="0"/>
        <w:textAlignment w:val="auto"/>
        <w:rPr>
          <w:rFonts w:hint="default" w:eastAsia="宋体"/>
          <w:color w:val="FF0000"/>
          <w:lang w:val="en-US" w:eastAsia="zh-CN"/>
        </w:rPr>
      </w:pPr>
      <w:r>
        <w:rPr>
          <w:color w:val="FF0000"/>
        </w:rPr>
        <w:t>4、须具有有效的</w:t>
      </w:r>
      <w:r>
        <w:rPr>
          <w:rFonts w:hint="eastAsia"/>
          <w:color w:val="FF0000"/>
          <w:lang w:val="en-US" w:eastAsia="zh-CN"/>
        </w:rPr>
        <w:t>消毒产品生产企业卫生许可证，消毒产品卫生安全评价报告；</w:t>
      </w:r>
    </w:p>
    <w:p>
      <w:pPr>
        <w:pStyle w:val="3"/>
        <w:widowControl/>
        <w:wordWrap/>
        <w:adjustRightInd/>
        <w:snapToGrid/>
        <w:spacing w:beforeAutospacing="0" w:afterAutospacing="0"/>
        <w:textAlignment w:val="auto"/>
      </w:pPr>
      <w:r>
        <w:t>5、具有良好的售后服务体系；</w:t>
      </w:r>
    </w:p>
    <w:p>
      <w:pPr>
        <w:wordWrap/>
        <w:adjustRightInd/>
        <w:snapToGrid/>
        <w:spacing w:beforeAutospacing="0" w:afterAutospacing="0"/>
        <w:jc w:val="left"/>
        <w:textAlignment w:val="auto"/>
      </w:pPr>
      <w:r>
        <w:t>6、本项目不接受联合体投标。</w:t>
      </w:r>
    </w:p>
    <w:p>
      <w:pPr>
        <w:pStyle w:val="2"/>
        <w:rPr>
          <w:rFonts w:hint="eastAsia" w:ascii="宋体" w:hAnsi="宋体" w:eastAsia="宋体" w:cs="宋体"/>
          <w:b w:val="0"/>
          <w:bCs/>
          <w:sz w:val="24"/>
          <w:szCs w:val="24"/>
          <w:lang w:val="en-US" w:eastAsia="zh-CN"/>
        </w:rPr>
      </w:pPr>
      <w:r>
        <w:rPr>
          <w:rFonts w:hint="eastAsia" w:ascii="宋体" w:hAnsi="宋体" w:eastAsia="宋体" w:cs="宋体"/>
          <w:b w:val="0"/>
          <w:bCs/>
          <w:sz w:val="24"/>
          <w:szCs w:val="24"/>
          <w:lang w:val="en-US" w:eastAsia="zh-CN"/>
        </w:rPr>
        <w:t>7、符合《中华人民共和国政府采购法》第二十二条规定；</w:t>
      </w:r>
    </w:p>
    <w:p>
      <w:pPr>
        <w:wordWrap/>
        <w:adjustRightInd/>
        <w:snapToGrid/>
        <w:spacing w:beforeAutospacing="0" w:afterAutospacing="0"/>
        <w:jc w:val="left"/>
        <w:textAlignment w:val="auto"/>
        <w:rPr>
          <w:rFonts w:hint="eastAsia"/>
          <w:lang w:val="en-US" w:eastAsia="zh-CN"/>
        </w:rPr>
      </w:pPr>
    </w:p>
    <w:p>
      <w:pPr>
        <w:wordWrap/>
        <w:adjustRightInd/>
        <w:snapToGrid/>
        <w:spacing w:beforeAutospacing="0" w:afterAutospacing="0" w:line="320" w:lineRule="exact"/>
        <w:textAlignment w:val="auto"/>
        <w:rPr>
          <w:rFonts w:hint="eastAsia"/>
          <w:b/>
          <w:bCs/>
          <w:sz w:val="24"/>
          <w:szCs w:val="24"/>
          <w:lang w:val="en-US" w:eastAsia="zh-CN"/>
        </w:rPr>
      </w:pPr>
      <w:r>
        <w:rPr>
          <w:rFonts w:hint="eastAsia"/>
          <w:b/>
          <w:bCs/>
          <w:sz w:val="24"/>
          <w:szCs w:val="24"/>
          <w:lang w:val="en-US" w:eastAsia="zh-CN"/>
        </w:rPr>
        <w:t>付款方式：</w:t>
      </w:r>
    </w:p>
    <w:p>
      <w:pPr>
        <w:wordWrap/>
        <w:adjustRightInd/>
        <w:snapToGrid/>
        <w:spacing w:beforeAutospacing="0" w:afterAutospacing="0" w:line="320" w:lineRule="exact"/>
        <w:ind w:firstLine="480" w:firstLineChars="200"/>
        <w:textAlignment w:val="auto"/>
        <w:rPr>
          <w:rFonts w:hint="eastAsia" w:ascii="宋体" w:hAnsi="宋体" w:cs="宋体"/>
          <w:sz w:val="24"/>
          <w:szCs w:val="24"/>
        </w:rPr>
      </w:pPr>
      <w:r>
        <w:rPr>
          <w:rFonts w:hint="eastAsia" w:ascii="宋体" w:hAnsi="宋体" w:cs="宋体"/>
          <w:sz w:val="24"/>
          <w:szCs w:val="24"/>
        </w:rPr>
        <w:t>根据实际供货量乘以单价进行支付，每批供货完毕验收合格后</w:t>
      </w:r>
      <w:r>
        <w:rPr>
          <w:rFonts w:hint="eastAsia" w:ascii="宋体" w:hAnsi="宋体" w:cs="宋体"/>
          <w:sz w:val="24"/>
          <w:szCs w:val="24"/>
          <w:lang w:val="en-US" w:eastAsia="zh-CN"/>
        </w:rPr>
        <w:t>6</w:t>
      </w:r>
      <w:r>
        <w:rPr>
          <w:rFonts w:hint="eastAsia" w:ascii="宋体" w:hAnsi="宋体" w:cs="宋体"/>
          <w:sz w:val="24"/>
          <w:szCs w:val="24"/>
        </w:rPr>
        <w:t>个月支付该批次合同款。</w:t>
      </w:r>
    </w:p>
    <w:p>
      <w:pPr>
        <w:wordWrap/>
        <w:adjustRightInd/>
        <w:snapToGrid/>
        <w:spacing w:beforeAutospacing="0" w:afterAutospacing="0"/>
        <w:jc w:val="left"/>
        <w:textAlignment w:val="auto"/>
        <w:rPr>
          <w:rFonts w:hint="default" w:eastAsia="宋体"/>
          <w:lang w:val="en-US" w:eastAsia="zh-CN"/>
        </w:rPr>
      </w:pPr>
    </w:p>
    <w:p>
      <w:pPr>
        <w:pStyle w:val="2"/>
        <w:rPr>
          <w:rFonts w:hint="eastAsia" w:ascii="宋体" w:hAnsi="宋体" w:eastAsia="宋体" w:cs="宋体"/>
          <w:b w:val="0"/>
          <w:bCs/>
          <w:sz w:val="24"/>
          <w:szCs w:val="24"/>
          <w:lang w:val="en-US" w:eastAsia="zh-CN"/>
        </w:rPr>
      </w:pPr>
      <w:r>
        <w:rPr>
          <w:rFonts w:hint="eastAsia" w:ascii="宋体" w:hAnsi="宋体" w:eastAsia="宋体" w:cs="宋体"/>
          <w:b/>
          <w:bCs w:val="0"/>
          <w:sz w:val="24"/>
          <w:szCs w:val="24"/>
          <w:lang w:val="en-US" w:eastAsia="zh-CN"/>
        </w:rPr>
        <w:t>注</w:t>
      </w:r>
      <w:r>
        <w:rPr>
          <w:rFonts w:hint="eastAsia" w:ascii="宋体" w:hAnsi="宋体" w:eastAsia="宋体" w:cs="宋体"/>
          <w:b w:val="0"/>
          <w:bCs/>
          <w:sz w:val="24"/>
          <w:szCs w:val="24"/>
          <w:lang w:val="en-US" w:eastAsia="zh-CN"/>
        </w:rPr>
        <w:t>：</w:t>
      </w:r>
    </w:p>
    <w:p>
      <w:pPr>
        <w:pStyle w:val="2"/>
        <w:ind w:firstLine="480" w:firstLineChars="200"/>
        <w:rPr>
          <w:rFonts w:hint="eastAsia" w:ascii="宋体" w:hAnsi="宋体" w:eastAsia="宋体" w:cs="宋体"/>
          <w:b w:val="0"/>
          <w:bCs/>
          <w:sz w:val="24"/>
          <w:szCs w:val="24"/>
          <w:lang w:val="en-US" w:eastAsia="zh-CN"/>
        </w:rPr>
      </w:pPr>
      <w:r>
        <w:rPr>
          <w:rFonts w:hint="eastAsia" w:ascii="宋体" w:hAnsi="宋体" w:eastAsia="宋体" w:cs="宋体"/>
          <w:b w:val="0"/>
          <w:bCs/>
          <w:sz w:val="24"/>
          <w:szCs w:val="24"/>
          <w:lang w:val="en-US" w:eastAsia="zh-CN"/>
        </w:rPr>
        <w:t>清单中所列货物数量为年度需求量，中标人根据医院实际需求配送不同规格、单位的货物。</w:t>
      </w:r>
    </w:p>
    <w:p>
      <w:pPr>
        <w:pStyle w:val="2"/>
        <w:rPr>
          <w:rFonts w:hint="default"/>
          <w:lang w:val="en-US" w:eastAsia="zh-CN"/>
        </w:rPr>
      </w:pPr>
    </w:p>
    <w:p>
      <w:pPr>
        <w:pStyle w:val="2"/>
        <w:rPr>
          <w:rFonts w:hint="default"/>
          <w:lang w:val="en-US" w:eastAsia="zh-CN"/>
        </w:rPr>
      </w:pPr>
    </w:p>
    <w:p>
      <w:pPr>
        <w:pStyle w:val="2"/>
        <w:rPr>
          <w:rFonts w:hint="default"/>
          <w:lang w:val="en-US" w:eastAsia="zh-CN"/>
        </w:rPr>
      </w:pPr>
    </w:p>
    <w:p>
      <w:pPr>
        <w:pStyle w:val="2"/>
        <w:rPr>
          <w:rFonts w:hint="default"/>
          <w:lang w:val="en-US" w:eastAsia="zh-CN"/>
        </w:rPr>
      </w:pPr>
    </w:p>
    <w:p>
      <w:pPr>
        <w:pStyle w:val="2"/>
        <w:rPr>
          <w:rFonts w:hint="default"/>
          <w:lang w:val="en-US" w:eastAsia="zh-CN"/>
        </w:rPr>
      </w:pPr>
    </w:p>
    <w:p>
      <w:pPr>
        <w:pStyle w:val="2"/>
        <w:rPr>
          <w:rFonts w:hint="default"/>
          <w:lang w:val="en-US" w:eastAsia="zh-CN"/>
        </w:rPr>
      </w:pPr>
      <w:bookmarkStart w:id="0" w:name="_GoBack"/>
      <w:bookmarkEnd w:id="0"/>
    </w:p>
    <w:p>
      <w:pPr>
        <w:pStyle w:val="2"/>
        <w:rPr>
          <w:rFonts w:hint="default"/>
          <w:lang w:val="en-US" w:eastAsia="zh-CN"/>
        </w:rPr>
      </w:pPr>
    </w:p>
    <w:p>
      <w:pPr>
        <w:pStyle w:val="2"/>
        <w:rPr>
          <w:rFonts w:hint="default"/>
          <w:lang w:val="en-US" w:eastAsia="zh-CN"/>
        </w:rPr>
      </w:pPr>
    </w:p>
    <w:p>
      <w:pPr>
        <w:pStyle w:val="2"/>
        <w:rPr>
          <w:rFonts w:hint="default"/>
          <w:lang w:val="en-US" w:eastAsia="zh-CN"/>
        </w:rPr>
      </w:pPr>
    </w:p>
    <w:p>
      <w:pPr>
        <w:pStyle w:val="2"/>
        <w:rPr>
          <w:rFonts w:hint="default"/>
          <w:lang w:val="en-US" w:eastAsia="zh-CN"/>
        </w:rPr>
      </w:pPr>
    </w:p>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Calibri">
    <w:panose1 w:val="020F0502020204030204"/>
    <w:charset w:val="00"/>
    <w:family w:val="auto"/>
    <w:pitch w:val="default"/>
    <w:sig w:usb0="E00002FF" w:usb1="4000ACFF" w:usb2="00000001" w:usb3="00000000" w:csb0="2000019F" w:csb1="00000000"/>
  </w:font>
  <w:font w:name="仿宋">
    <w:panose1 w:val="02010609060101010101"/>
    <w:charset w:val="86"/>
    <w:family w:val="auto"/>
    <w:pitch w:val="default"/>
    <w:sig w:usb0="800002BF" w:usb1="38CF7CFA" w:usb2="00000016" w:usb3="00000000" w:csb0="00040001" w:csb1="00000000"/>
  </w:font>
  <w:font w:name="Wingdings 2">
    <w:panose1 w:val="05020102010507070707"/>
    <w:charset w:val="02"/>
    <w:family w:val="auto"/>
    <w:pitch w:val="default"/>
    <w:sig w:usb0="00000000" w:usb1="00000000" w:usb2="00000000" w:usb3="00000000" w:csb0="8000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524666437">
    <w:nsid w:val="1F45C645"/>
    <w:multiLevelType w:val="singleLevel"/>
    <w:tmpl w:val="1F45C645"/>
    <w:lvl w:ilvl="0" w:tentative="1">
      <w:start w:val="1"/>
      <w:numFmt w:val="decimal"/>
      <w:suff w:val="nothing"/>
      <w:lvlText w:val="%1、"/>
      <w:lvlJc w:val="left"/>
    </w:lvl>
  </w:abstractNum>
  <w:num w:numId="1">
    <w:abstractNumId w:val="52466643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HorizontalSpacing w:val="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useNormalStyleForList/>
    <w:doNotUseIndentAsNumberingTabStop/>
    <w:allowSpaceOfSameStyleInTable/>
    <w:doNotSuppressIndentation/>
    <w:doNotAutofitConstrainedTables/>
    <w:autofitToFirstFixedWidthCell/>
    <w:displayHangulFixedWidth/>
    <w:doNotVertAlignCellWithSp/>
    <w:doNotBreakConstrainedForcedTable/>
    <w:doNotVertAlignInTxbx/>
    <w:useAnsiKerningPairs/>
    <w:cachedColBalance/>
  </w:compat>
  <w:uiCompat97To2003/>
  <w:shapeDefaults>
    <o:shapedefaults fillcolor="#9CBEE0" fill="t" stroke="t">
      <v:fill type="gradient" on="t" color2="#BBD5F0" focus="0%" focussize="0f,0f" focusposition="0f,0f">
        <o:fill type="gradientUnscaled" v:ext="backwardCompatible"/>
      </v:fill>
      <v:stroke weight="1.25pt" color="#739CC3" color2="#FFFFFF" miterlimit="2"/>
    </o:shapedefaults>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宋体" w:cs="Calibri"/>
        <w:lang w:val="en-US" w:eastAsia="zh-CN" w:bidi="ar-SA"/>
      </w:rPr>
    </w:rPrDefault>
  </w:docDefaults>
  <w:latentStyles w:count="156"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semiHidden="0" w:name="annotation subject"/>
    <w:lsdException w:unhideWhenUsed="0" w:uiPriority="0" w:semiHidden="0" w:name="Balloon Text"/>
  </w:latentStyles>
  <w:style w:type="paragraph" w:default="1" w:styleId="1">
    <w:name w:val="Normal"/>
    <w:next w:val="2"/>
    <w:qFormat/>
    <w:uiPriority w:val="0"/>
    <w:pPr>
      <w:widowControl w:val="0"/>
      <w:jc w:val="both"/>
    </w:pPr>
    <w:rPr>
      <w:rFonts w:ascii="Calibri" w:hAnsi="Calibri" w:eastAsia="宋体" w:cs="Times New Roman"/>
      <w:kern w:val="2"/>
      <w:sz w:val="21"/>
      <w:szCs w:val="21"/>
      <w:lang w:val="en-US" w:eastAsia="zh-CN" w:bidi="ar-SA"/>
    </w:rPr>
  </w:style>
  <w:style w:type="character" w:default="1" w:styleId="4">
    <w:name w:val="Default Paragraph Font"/>
    <w:semiHidden/>
    <w:qFormat/>
    <w:uiPriority w:val="0"/>
  </w:style>
  <w:style w:type="paragraph" w:styleId="2">
    <w:name w:val="Body Text"/>
    <w:basedOn w:val="1"/>
    <w:qFormat/>
    <w:uiPriority w:val="0"/>
    <w:pPr>
      <w:jc w:val="left"/>
    </w:pPr>
    <w:rPr>
      <w:rFonts w:ascii="Arial" w:hAnsi="Arial" w:eastAsia="黑体"/>
      <w:b/>
      <w:kern w:val="0"/>
      <w:sz w:val="32"/>
      <w:szCs w:val="20"/>
    </w:rPr>
  </w:style>
  <w:style w:type="paragraph" w:styleId="3">
    <w:name w:val="Normal (Web)"/>
    <w:basedOn w:val="1"/>
    <w:qFormat/>
    <w:uiPriority w:val="0"/>
    <w:pPr>
      <w:spacing w:before="0" w:beforeAutospacing="1" w:after="0" w:afterAutospacing="1"/>
      <w:ind w:left="0" w:right="0"/>
      <w:jc w:val="left"/>
    </w:pPr>
    <w:rPr>
      <w:kern w:val="0"/>
      <w:sz w:val="24"/>
      <w:lang w:val="en-US" w:eastAsia="zh-CN"/>
    </w:rPr>
  </w:style>
  <w:style w:type="paragraph" w:customStyle="1" w:styleId="5">
    <w:name w:val="_Style 5"/>
    <w:basedOn w:val="1"/>
    <w:next w:val="1"/>
    <w:uiPriority w:val="0"/>
    <w:pPr>
      <w:pBdr>
        <w:bottom w:val="single" w:color="auto" w:sz="6" w:space="1"/>
      </w:pBdr>
      <w:jc w:val="center"/>
    </w:pPr>
    <w:rPr>
      <w:rFonts w:ascii="Arial" w:eastAsia="宋体"/>
      <w:vanish/>
      <w:sz w:val="16"/>
    </w:rPr>
  </w:style>
  <w:style w:type="paragraph" w:customStyle="1" w:styleId="6">
    <w:name w:val="_Style 6"/>
    <w:basedOn w:val="1"/>
    <w:next w:val="1"/>
    <w:qFormat/>
    <w:uiPriority w:val="0"/>
    <w:pPr>
      <w:pBdr>
        <w:top w:val="single" w:color="auto" w:sz="6" w:space="1"/>
      </w:pBdr>
      <w:jc w:val="center"/>
    </w:pPr>
    <w:rPr>
      <w:rFonts w:ascii="Arial" w:eastAsia="宋体"/>
      <w:vanish/>
      <w:sz w:val="16"/>
    </w:rPr>
  </w:style>
  <w:style w:type="paragraph" w:customStyle="1" w:styleId="7">
    <w:name w:val="List Paragraph"/>
    <w:basedOn w:val="1"/>
    <w:qFormat/>
    <w:uiPriority w:val="34"/>
    <w:pPr>
      <w:ind w:firstLine="420" w:firstLineChars="200"/>
    </w:pPr>
  </w:style>
  <w:style w:type="character" w:customStyle="1" w:styleId="8">
    <w:name w:val="font51"/>
    <w:basedOn w:val="4"/>
    <w:qFormat/>
    <w:uiPriority w:val="0"/>
    <w:rPr>
      <w:rFonts w:hint="eastAsia" w:ascii="宋体" w:hAnsi="宋体" w:eastAsia="宋体" w:cs="宋体"/>
      <w:color w:val="000000"/>
      <w:sz w:val="24"/>
      <w:szCs w:val="24"/>
      <w:u w:val="none"/>
    </w:rPr>
  </w:style>
</w:styles>
</file>

<file path=word/_rels/document.xml.rels><?xml version="1.0" encoding="UTF-8" standalone="yes"?>
<Relationships xmlns="http://schemas.openxmlformats.org/package/2006/relationships"><Relationship Id="rId1" Type="http://schemas.openxmlformats.org/officeDocument/2006/relationships/fontTable" Target="fontTable.xml"/><Relationship Id="rId2" Type="http://schemas.openxmlformats.org/officeDocument/2006/relationships/styles" Target="styles.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customXml" Target="../customXml/item1.xml"/><Relationship Id="rId6" Type="http://schemas.openxmlformats.org/officeDocument/2006/relationships/numbering" Target="numbering.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Arab" typeface="Times New Roman"/>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Times New Roman"/>
        <a:font script="Jpan" typeface="ＭＳ Ｐゴシック"/>
        <a:font script="Khmr" typeface="MoolBoran"/>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Times New Roman"/>
        <a:font script="Yiii" typeface="Microsoft Yi Baiti"/>
      </a:majorFont>
      <a:minorFont>
        <a:latin typeface="Calibri"/>
        <a:ea typeface=""/>
        <a:cs typeface=""/>
        <a:font script="Arab" typeface="Arial"/>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Arial"/>
        <a:font script="Jpan" typeface="ＭＳ Ｐゴシック"/>
        <a:font script="Khmr" typeface="DaunPenh"/>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Arial"/>
        <a:font script="Yiii" typeface="Microsoft Yi Baiti"/>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 专业版_9.1.0.4688_{F1E327BC-269C-435d-A152-05C5408002CA}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2021-02-24T07:42:00Z</dcterms:created>
  <dc:creator>zhangyishun</dc:creator>
  <cp:lastModifiedBy>Administrator</cp:lastModifiedBy>
  <cp:lastPrinted>2021-03-04T02:59:00Z</cp:lastPrinted>
  <dcterms:modified xsi:type="dcterms:W3CDTF">2021-03-11T08:55:04Z</dcterms:modified>
  <dc:title>马鞍山市人民医院院内招标采购申请委托书</dc:title>
  <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2052-9.1.0.4688</vt:lpwstr>
  </property>
</Properties>
</file>