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exact"/>
        <w:jc w:val="center"/>
        <w:rPr>
          <w:rFonts w:ascii="黑体" w:hAnsi="黑体" w:eastAsia="黑体" w:cs="黑体"/>
          <w:sz w:val="36"/>
          <w:szCs w:val="36"/>
        </w:rPr>
      </w:pPr>
      <w:r>
        <w:rPr>
          <w:rFonts w:hint="eastAsia" w:ascii="黑体" w:hAnsi="黑体" w:eastAsia="黑体" w:cs="黑体"/>
          <w:sz w:val="36"/>
          <w:szCs w:val="36"/>
        </w:rPr>
        <w:t>锁具</w:t>
      </w:r>
      <w:r>
        <w:rPr>
          <w:rFonts w:hint="eastAsia" w:ascii="黑体" w:hAnsi="黑体" w:eastAsia="黑体" w:cs="黑体"/>
          <w:sz w:val="36"/>
          <w:szCs w:val="36"/>
          <w:lang w:eastAsia="zh-CN"/>
        </w:rPr>
        <w:t>维修服务</w:t>
      </w:r>
      <w:r>
        <w:rPr>
          <w:rFonts w:hint="eastAsia" w:ascii="黑体" w:hAnsi="黑体" w:eastAsia="黑体" w:cs="黑体"/>
          <w:sz w:val="36"/>
          <w:szCs w:val="36"/>
        </w:rPr>
        <w:t>招标参数要求</w:t>
      </w:r>
    </w:p>
    <w:p>
      <w:pPr>
        <w:rPr>
          <w:rFonts w:ascii="宋体" w:hAnsi="宋体" w:cs="宋体"/>
          <w:sz w:val="24"/>
        </w:rPr>
      </w:pPr>
    </w:p>
    <w:p>
      <w:pPr>
        <w:ind w:firstLine="562" w:firstLineChars="200"/>
        <w:rPr>
          <w:rFonts w:ascii="宋体" w:hAnsi="宋体" w:cs="宋体"/>
          <w:sz w:val="24"/>
        </w:rPr>
      </w:pPr>
      <w:r>
        <w:rPr>
          <w:rFonts w:hint="eastAsia" w:ascii="宋体" w:hAnsi="宋体" w:cs="宋体"/>
          <w:b/>
          <w:bCs/>
          <w:sz w:val="28"/>
          <w:szCs w:val="28"/>
        </w:rPr>
        <w:t xml:space="preserve">           （一）评标办法及金额年限</w:t>
      </w:r>
    </w:p>
    <w:p>
      <w:pPr>
        <w:pStyle w:val="6"/>
        <w:ind w:firstLine="0" w:firstLineChars="0"/>
        <w:rPr>
          <w:rFonts w:ascii="宋体" w:hAnsi="宋体" w:cs="宋体"/>
          <w:sz w:val="24"/>
        </w:rPr>
      </w:pPr>
      <w:r>
        <w:rPr>
          <w:rFonts w:hint="eastAsia" w:ascii="宋体" w:hAnsi="宋体" w:cs="宋体"/>
          <w:b/>
          <w:bCs/>
          <w:sz w:val="24"/>
        </w:rPr>
        <w:t>1、评标办法</w:t>
      </w:r>
      <w:r>
        <w:rPr>
          <w:rFonts w:hint="eastAsia" w:ascii="宋体" w:hAnsi="宋体" w:cs="宋体"/>
          <w:sz w:val="24"/>
        </w:rPr>
        <w:t>：综合评分</w:t>
      </w:r>
      <w:r>
        <w:rPr>
          <w:rFonts w:hint="eastAsia" w:ascii="宋体" w:hAnsi="宋体" w:cs="宋体"/>
          <w:sz w:val="24"/>
          <w:lang w:eastAsia="zh-CN"/>
        </w:rPr>
        <w:t>（综合费率）</w:t>
      </w:r>
      <w:r>
        <w:rPr>
          <w:rFonts w:hint="eastAsia" w:ascii="宋体" w:hAnsi="宋体" w:cs="宋体"/>
          <w:sz w:val="24"/>
        </w:rPr>
        <w:t>。</w:t>
      </w:r>
    </w:p>
    <w:p>
      <w:pPr>
        <w:spacing w:line="480" w:lineRule="exact"/>
        <w:rPr>
          <w:rFonts w:ascii="宋体" w:hAnsi="宋体" w:cs="宋体"/>
          <w:sz w:val="24"/>
        </w:rPr>
      </w:pPr>
      <w:r>
        <w:rPr>
          <w:rFonts w:hint="eastAsia" w:ascii="宋体" w:hAnsi="宋体" w:cs="宋体"/>
          <w:b/>
          <w:bCs/>
          <w:sz w:val="24"/>
        </w:rPr>
        <w:t>2、项目控制金额</w:t>
      </w:r>
      <w:r>
        <w:rPr>
          <w:rFonts w:hint="eastAsia" w:ascii="宋体" w:hAnsi="宋体" w:cs="宋体"/>
          <w:sz w:val="24"/>
        </w:rPr>
        <w:t>：</w:t>
      </w:r>
      <w:r>
        <w:rPr>
          <w:rFonts w:hint="eastAsia" w:ascii="宋体" w:hAnsi="宋体" w:cs="宋体"/>
          <w:sz w:val="24"/>
          <w:lang w:eastAsia="zh-CN"/>
        </w:rPr>
        <w:t>不超过</w:t>
      </w:r>
      <w:r>
        <w:rPr>
          <w:rFonts w:hint="eastAsia" w:ascii="宋体" w:hAnsi="宋体" w:cs="宋体"/>
          <w:sz w:val="24"/>
        </w:rPr>
        <w:t>2.5万元/年（以实际发生</w:t>
      </w:r>
      <w:r>
        <w:rPr>
          <w:rFonts w:hint="eastAsia" w:ascii="宋体" w:hAnsi="宋体" w:cs="宋体"/>
          <w:sz w:val="24"/>
          <w:lang w:eastAsia="zh-CN"/>
        </w:rPr>
        <w:t>金</w:t>
      </w:r>
      <w:r>
        <w:rPr>
          <w:rFonts w:hint="eastAsia" w:ascii="宋体" w:hAnsi="宋体" w:cs="宋体"/>
          <w:sz w:val="24"/>
        </w:rPr>
        <w:t>额付款）</w:t>
      </w:r>
      <w:r>
        <w:rPr>
          <w:rFonts w:ascii="宋体" w:hAnsi="宋体" w:cs="宋体"/>
          <w:sz w:val="24"/>
        </w:rPr>
        <w:t xml:space="preserve"> </w:t>
      </w:r>
      <w:r>
        <w:rPr>
          <w:rFonts w:hint="eastAsia" w:ascii="宋体" w:hAnsi="宋体" w:cs="宋体"/>
          <w:sz w:val="24"/>
        </w:rPr>
        <w:t>（带样品）</w:t>
      </w:r>
    </w:p>
    <w:p>
      <w:pPr>
        <w:spacing w:line="480" w:lineRule="exact"/>
        <w:rPr>
          <w:rFonts w:hint="eastAsia" w:ascii="宋体" w:hAnsi="宋体" w:cs="宋体"/>
          <w:sz w:val="24"/>
        </w:rPr>
      </w:pPr>
      <w:r>
        <w:rPr>
          <w:rFonts w:hint="eastAsia" w:ascii="宋体" w:hAnsi="宋体" w:cs="宋体"/>
          <w:b/>
          <w:bCs/>
          <w:sz w:val="24"/>
        </w:rPr>
        <w:t>3、项目控制年限</w:t>
      </w:r>
      <w:r>
        <w:rPr>
          <w:rFonts w:hint="eastAsia" w:ascii="宋体" w:hAnsi="宋体" w:cs="宋体"/>
          <w:sz w:val="24"/>
        </w:rPr>
        <w:t>：三年合同一年一签。</w:t>
      </w:r>
    </w:p>
    <w:p>
      <w:pPr>
        <w:ind w:firstLine="480" w:firstLineChars="200"/>
        <w:rPr>
          <w:rFonts w:ascii="宋体" w:hAnsi="宋体" w:cs="宋体"/>
          <w:b/>
          <w:bCs/>
          <w:sz w:val="28"/>
          <w:szCs w:val="28"/>
        </w:rPr>
      </w:pPr>
      <w:r>
        <w:rPr>
          <w:rFonts w:hint="eastAsia" w:ascii="宋体" w:hAnsi="宋体" w:cs="宋体"/>
          <w:sz w:val="24"/>
        </w:rPr>
        <w:t xml:space="preserve">                    </w:t>
      </w:r>
      <w:r>
        <w:rPr>
          <w:rFonts w:hint="eastAsia" w:ascii="宋体" w:hAnsi="宋体" w:cs="宋体"/>
          <w:b/>
          <w:bCs/>
          <w:sz w:val="28"/>
          <w:szCs w:val="28"/>
        </w:rPr>
        <w:t>（二）服务要求</w:t>
      </w:r>
    </w:p>
    <w:p>
      <w:pPr>
        <w:spacing w:line="100" w:lineRule="atLeast"/>
        <w:rPr>
          <w:rFonts w:ascii="黑体" w:hAnsi="黑体" w:eastAsia="黑体" w:cs="黑体"/>
          <w:b/>
          <w:bCs/>
          <w:spacing w:val="-14"/>
          <w:sz w:val="28"/>
          <w:szCs w:val="28"/>
        </w:rPr>
      </w:pPr>
      <w:r>
        <w:rPr>
          <w:rFonts w:hint="eastAsia" w:ascii="黑体" w:hAnsi="黑体" w:eastAsia="黑体" w:cs="黑体"/>
          <w:sz w:val="28"/>
          <w:szCs w:val="28"/>
        </w:rPr>
        <w:t>相关营业执照、服务及质保要求。</w:t>
      </w:r>
    </w:p>
    <w:p>
      <w:pPr>
        <w:pStyle w:val="6"/>
        <w:ind w:firstLine="480"/>
        <w:rPr>
          <w:sz w:val="24"/>
        </w:rPr>
      </w:pPr>
      <w:r>
        <w:rPr>
          <w:rFonts w:hint="eastAsia" w:ascii="宋体" w:hAnsi="宋体"/>
          <w:sz w:val="24"/>
        </w:rPr>
        <w:t>1、营业执照有相应锁具维修或销售内容</w:t>
      </w:r>
      <w:r>
        <w:rPr>
          <w:rFonts w:hint="eastAsia"/>
          <w:sz w:val="24"/>
        </w:rPr>
        <w:t>。</w:t>
      </w:r>
    </w:p>
    <w:p>
      <w:pPr>
        <w:spacing w:line="360" w:lineRule="auto"/>
        <w:ind w:firstLine="480" w:firstLineChars="200"/>
        <w:rPr>
          <w:rFonts w:ascii="宋体" w:hAnsi="宋体"/>
          <w:sz w:val="24"/>
        </w:rPr>
      </w:pPr>
      <w:r>
        <w:rPr>
          <w:rFonts w:hint="eastAsia" w:ascii="宋体" w:hAnsi="宋体"/>
          <w:sz w:val="24"/>
        </w:rPr>
        <w:t>2、凡供应的产品必须符合国家（行业）标准。售出的商品，属质量问题的，按国家商品“三包”规定执行</w:t>
      </w:r>
      <w:r>
        <w:rPr>
          <w:rFonts w:hint="eastAsia" w:ascii="宋体" w:hAnsi="宋体"/>
          <w:sz w:val="24"/>
          <w:lang w:eastAsia="zh-CN"/>
        </w:rPr>
        <w:t>（具体参数见附件</w:t>
      </w:r>
      <w:r>
        <w:rPr>
          <w:rFonts w:hint="eastAsia" w:ascii="宋体" w:hAnsi="宋体"/>
          <w:sz w:val="24"/>
          <w:lang w:val="en-US" w:eastAsia="zh-CN"/>
        </w:rPr>
        <w:t>1）</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3、</w:t>
      </w:r>
      <w:r>
        <w:rPr>
          <w:rFonts w:hint="eastAsia" w:ascii="宋体" w:hAnsi="宋体"/>
          <w:sz w:val="24"/>
          <w:lang w:eastAsia="zh-CN"/>
        </w:rPr>
        <w:t>接到报修电话</w:t>
      </w:r>
      <w:r>
        <w:rPr>
          <w:rFonts w:hint="eastAsia" w:ascii="宋体" w:hAnsi="宋体"/>
          <w:sz w:val="24"/>
          <w:lang w:val="en-US" w:eastAsia="zh-CN"/>
        </w:rPr>
        <w:t>1小时内到场维修，</w:t>
      </w:r>
      <w:r>
        <w:rPr>
          <w:rFonts w:hint="eastAsia" w:ascii="宋体" w:hAnsi="宋体"/>
          <w:sz w:val="24"/>
        </w:rPr>
        <w:t>如在使用过程中出现产品本身质量问题，承诺无条件退换。如因产品质量原因造成的损害，由中标方承担一切后果。</w:t>
      </w:r>
    </w:p>
    <w:p>
      <w:pPr>
        <w:tabs>
          <w:tab w:val="left" w:pos="1050"/>
        </w:tabs>
        <w:spacing w:line="360" w:lineRule="auto"/>
        <w:ind w:firstLine="2811" w:firstLineChars="1000"/>
        <w:outlineLvl w:val="2"/>
        <w:rPr>
          <w:b/>
          <w:sz w:val="28"/>
          <w:szCs w:val="28"/>
        </w:rPr>
      </w:pPr>
      <w:r>
        <w:rPr>
          <w:rFonts w:hint="eastAsia"/>
          <w:b/>
          <w:sz w:val="28"/>
          <w:szCs w:val="28"/>
        </w:rPr>
        <w:t>（三）商务要求</w:t>
      </w:r>
    </w:p>
    <w:p>
      <w:pPr>
        <w:spacing w:line="360" w:lineRule="auto"/>
        <w:ind w:firstLine="480" w:firstLineChars="200"/>
        <w:rPr>
          <w:rFonts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ascii="宋体" w:hAnsi="宋体"/>
          <w:sz w:val="24"/>
        </w:rPr>
      </w:pPr>
      <w:r>
        <w:rPr>
          <w:rFonts w:hint="eastAsia" w:ascii="宋体" w:hAnsi="宋体"/>
          <w:sz w:val="24"/>
        </w:rPr>
        <w:t>3、所有货物必须符合国家相关强制性要求。</w:t>
      </w:r>
    </w:p>
    <w:p>
      <w:pPr>
        <w:spacing w:line="460" w:lineRule="exact"/>
        <w:ind w:firstLine="480" w:firstLineChars="200"/>
        <w:rPr>
          <w:rFonts w:ascii="宋体" w:hAnsi="宋体"/>
          <w:color w:val="000000"/>
          <w:sz w:val="24"/>
        </w:rPr>
      </w:pPr>
      <w:r>
        <w:rPr>
          <w:rFonts w:hint="eastAsia" w:ascii="宋体" w:hAnsi="宋体"/>
          <w:sz w:val="24"/>
        </w:rPr>
        <w:t>4、技术支持：</w:t>
      </w:r>
    </w:p>
    <w:p>
      <w:pPr>
        <w:spacing w:line="440" w:lineRule="exact"/>
        <w:ind w:firstLine="480" w:firstLineChars="200"/>
        <w:rPr>
          <w:rFonts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ascii="宋体" w:hAnsi="宋体"/>
          <w:sz w:val="24"/>
        </w:rPr>
      </w:pPr>
      <w:r>
        <w:rPr>
          <w:rFonts w:hint="eastAsia" w:ascii="宋体" w:hAnsi="宋体"/>
          <w:sz w:val="24"/>
        </w:rPr>
        <w:t>5、质保及售后服务：</w:t>
      </w:r>
    </w:p>
    <w:p>
      <w:pPr>
        <w:spacing w:line="460" w:lineRule="exact"/>
        <w:ind w:firstLine="482" w:firstLineChars="200"/>
        <w:rPr>
          <w:rFonts w:ascii="宋体" w:hAnsi="宋体"/>
          <w:sz w:val="24"/>
        </w:rPr>
      </w:pPr>
      <w:r>
        <w:rPr>
          <w:rFonts w:hint="eastAsia" w:ascii="宋体" w:hAnsi="宋体"/>
          <w:b/>
          <w:color w:val="7030A0"/>
          <w:sz w:val="24"/>
        </w:rPr>
        <w:t>5.1中标人需对所有货物提供至少半年的免费质保服务，自验收合格之日起计算。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1</w:t>
      </w:r>
      <w:r>
        <w:rPr>
          <w:rFonts w:hint="eastAsia" w:ascii="宋体" w:hAnsi="宋体"/>
          <w:b/>
          <w:color w:val="7030A0"/>
          <w:sz w:val="24"/>
        </w:rPr>
        <w:t>小时内到达现场,</w:t>
      </w:r>
      <w:r>
        <w:rPr>
          <w:rFonts w:hint="eastAsia" w:ascii="宋体" w:hAnsi="宋体"/>
          <w:b/>
          <w:color w:val="7030A0"/>
          <w:sz w:val="24"/>
          <w:lang w:val="en-US" w:eastAsia="zh-CN"/>
        </w:rPr>
        <w:t>12</w:t>
      </w:r>
      <w:r>
        <w:rPr>
          <w:rFonts w:hint="eastAsia" w:ascii="宋体" w:hAnsi="宋体"/>
          <w:b/>
          <w:color w:val="7030A0"/>
          <w:sz w:val="24"/>
        </w:rPr>
        <w:t>小时内解决问题</w:t>
      </w:r>
      <w:r>
        <w:rPr>
          <w:rFonts w:hint="eastAsia" w:ascii="宋体" w:hAnsi="宋体"/>
          <w:sz w:val="24"/>
        </w:rPr>
        <w:t xml:space="preserve">。   </w:t>
      </w:r>
    </w:p>
    <w:p>
      <w:pPr>
        <w:spacing w:line="360" w:lineRule="auto"/>
        <w:ind w:left="315" w:leftChars="150"/>
        <w:outlineLvl w:val="0"/>
        <w:rPr>
          <w:rFonts w:ascii="宋体" w:hAnsi="宋体"/>
          <w:sz w:val="24"/>
        </w:rPr>
      </w:pPr>
      <w:r>
        <w:rPr>
          <w:rFonts w:hint="eastAsia" w:ascii="宋体" w:hAnsi="宋体"/>
          <w:sz w:val="24"/>
        </w:rPr>
        <w:t>6、付款方式：每半年支付一次费用。</w:t>
      </w:r>
    </w:p>
    <w:p>
      <w:pPr>
        <w:spacing w:line="360" w:lineRule="auto"/>
        <w:ind w:left="315" w:leftChars="150"/>
        <w:outlineLvl w:val="0"/>
        <w:rPr>
          <w:rFonts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lang w:val="en-US" w:eastAsia="zh-CN"/>
        </w:rPr>
        <w:t>2</w:t>
      </w:r>
      <w:r>
        <w:rPr>
          <w:rFonts w:hint="eastAsia" w:ascii="宋体" w:hAnsi="宋体"/>
          <w:sz w:val="24"/>
          <w:highlight w:val="yellow"/>
          <w:u w:val="single"/>
        </w:rPr>
        <w:t>日</w:t>
      </w:r>
      <w:r>
        <w:rPr>
          <w:rFonts w:hint="eastAsia" w:ascii="宋体" w:hAnsi="宋体"/>
          <w:sz w:val="24"/>
          <w:highlight w:val="yellow"/>
          <w:u w:val="single"/>
          <w:lang w:eastAsia="zh-CN"/>
        </w:rPr>
        <w:t>内进场</w:t>
      </w:r>
      <w:r>
        <w:rPr>
          <w:rFonts w:hint="eastAsia" w:ascii="宋体" w:hAnsi="宋体"/>
          <w:sz w:val="24"/>
        </w:rPr>
        <w:t>。</w:t>
      </w:r>
    </w:p>
    <w:p>
      <w:pPr>
        <w:spacing w:line="480" w:lineRule="exact"/>
        <w:rPr>
          <w:rFonts w:ascii="宋体" w:hAnsi="宋体"/>
          <w:sz w:val="28"/>
          <w:szCs w:val="28"/>
        </w:rPr>
      </w:pPr>
      <w:r>
        <w:rPr>
          <w:rFonts w:hint="eastAsia" w:ascii="宋体" w:hAnsi="宋体"/>
          <w:sz w:val="24"/>
          <w:lang w:val="en-US" w:eastAsia="zh-CN"/>
        </w:rPr>
        <w:t>9、</w:t>
      </w:r>
      <w:r>
        <w:rPr>
          <w:rFonts w:ascii="宋体" w:hAnsi="宋体" w:eastAsia="宋体" w:cs="宋体"/>
          <w:sz w:val="24"/>
          <w:szCs w:val="24"/>
        </w:rPr>
        <w:t>具有本地化服务能力，注册地在马鞍山市区或在马鞍山市区有分支机构</w:t>
      </w:r>
      <w:bookmarkStart w:id="0" w:name="_GoBack"/>
      <w:bookmarkEnd w:id="0"/>
    </w:p>
    <w:p>
      <w:pPr>
        <w:spacing w:line="480" w:lineRule="exact"/>
        <w:rPr>
          <w:rFonts w:hint="eastAsia"/>
          <w:sz w:val="32"/>
          <w:szCs w:val="32"/>
        </w:rPr>
      </w:pPr>
      <w:r>
        <w:rPr>
          <w:rFonts w:hint="eastAsia"/>
          <w:sz w:val="32"/>
          <w:szCs w:val="32"/>
        </w:rPr>
        <w:t xml:space="preserve"> </w:t>
      </w: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rPr>
          <w:rFonts w:hint="eastAsia"/>
          <w:sz w:val="32"/>
          <w:szCs w:val="32"/>
        </w:rPr>
      </w:pPr>
      <w:r>
        <w:rPr>
          <w:rFonts w:hint="eastAsia"/>
          <w:sz w:val="32"/>
          <w:szCs w:val="32"/>
        </w:rPr>
        <w:t>附件1</w:t>
      </w:r>
    </w:p>
    <w:p>
      <w:pPr>
        <w:ind w:firstLine="960" w:firstLineChars="300"/>
        <w:rPr>
          <w:rFonts w:hint="eastAsia" w:ascii="仿宋_GB2312" w:hAnsi="仿宋_GB2312" w:eastAsia="仿宋_GB2312" w:cs="仿宋_GB2312"/>
          <w:sz w:val="32"/>
          <w:szCs w:val="32"/>
        </w:rPr>
      </w:pPr>
      <w:r>
        <w:rPr>
          <w:rFonts w:hint="eastAsia"/>
          <w:sz w:val="32"/>
          <w:szCs w:val="32"/>
        </w:rPr>
        <w:t xml:space="preserve">       </w:t>
      </w:r>
      <w:r>
        <w:rPr>
          <w:rFonts w:hint="eastAsia" w:ascii="仿宋_GB2312" w:hAnsi="仿宋_GB2312" w:eastAsia="仿宋_GB2312" w:cs="仿宋_GB2312"/>
          <w:b/>
          <w:bCs/>
          <w:sz w:val="44"/>
          <w:szCs w:val="44"/>
        </w:rPr>
        <w:t>关于院锁具维修招标参数</w:t>
      </w:r>
    </w:p>
    <w:p>
      <w:pPr>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锁具材料更换（包含人工）报价单</w:t>
      </w:r>
    </w:p>
    <w:tbl>
      <w:tblPr>
        <w:tblW w:w="8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4710"/>
        <w:gridCol w:w="1590"/>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名称及事项</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单价（元）</w:t>
            </w:r>
          </w:p>
        </w:tc>
        <w:tc>
          <w:tcPr>
            <w:tcW w:w="135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上门开锁并修锁（木门）</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上门开锁并修锁（防盗门）</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换锁芯（木门）</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w:t>
            </w:r>
          </w:p>
        </w:tc>
        <w:tc>
          <w:tcPr>
            <w:tcW w:w="135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带样品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换防盗门锁芯（A级）</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w:t>
            </w:r>
          </w:p>
        </w:tc>
        <w:tc>
          <w:tcPr>
            <w:tcW w:w="135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带样品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换防盗门锁芯（B级）</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换防盗门锁芯（C级）</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260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换防盗门锁体（除锁芯及拉手部分）</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换防盗门拉手</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9</w:t>
            </w:r>
            <w:r>
              <w:rPr>
                <w:rFonts w:hint="eastAsia" w:ascii="仿宋_GB2312" w:hAnsi="仿宋_GB2312" w:eastAsia="仿宋_GB2312" w:cs="仿宋_GB2312"/>
                <w:sz w:val="28"/>
                <w:szCs w:val="28"/>
                <w:lang w:val="en-US" w:eastAsia="zh-CN"/>
              </w:rPr>
              <w:t>*</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换快提门锁全套（适用木门及塑钢门）</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150</w:t>
            </w:r>
          </w:p>
        </w:tc>
        <w:tc>
          <w:tcPr>
            <w:tcW w:w="1351" w:type="dxa"/>
            <w:vAlign w:val="top"/>
          </w:tcPr>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带样品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配钥匙普通</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配钥匙普通（打孔）</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配钥匙    （A级）</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471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配钥匙     ( B级）</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p>
        </w:tc>
        <w:tc>
          <w:tcPr>
            <w:tcW w:w="1351" w:type="dxa"/>
            <w:vAlign w:val="top"/>
          </w:tcPr>
          <w:p>
            <w:pPr>
              <w:rPr>
                <w:rFonts w:hint="eastAsia" w:ascii="仿宋_GB2312" w:hAnsi="仿宋_GB2312" w:eastAsia="仿宋_GB2312" w:cs="仿宋_GB2312"/>
                <w:sz w:val="28"/>
                <w:szCs w:val="28"/>
              </w:rPr>
            </w:pPr>
          </w:p>
        </w:tc>
      </w:tr>
    </w:tbl>
    <w:p>
      <w:pPr>
        <w:rPr>
          <w:rFonts w:hint="eastAsia" w:ascii="仿宋_GB2312" w:hAnsi="仿宋_GB2312" w:eastAsia="仿宋_GB2312" w:cs="仿宋_GB2312"/>
          <w:sz w:val="28"/>
          <w:szCs w:val="28"/>
        </w:rPr>
      </w:pPr>
    </w:p>
    <w:p>
      <w:pPr>
        <w:spacing w:line="480" w:lineRule="exact"/>
        <w:rPr>
          <w:rFonts w:hint="eastAsia"/>
          <w:sz w:val="32"/>
          <w:szCs w:val="32"/>
        </w:rPr>
      </w:pPr>
    </w:p>
    <w:p>
      <w:pPr>
        <w:spacing w:line="480" w:lineRule="exact"/>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1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unhideWhenUsed/>
    <w:qFormat/>
    <w:uiPriority w:val="99"/>
    <w:pPr>
      <w:ind w:firstLine="420" w:firstLineChars="200"/>
    </w:pPr>
  </w:style>
  <w:style w:type="character" w:customStyle="1" w:styleId="7">
    <w:name w:val="font11"/>
    <w:basedOn w:val="5"/>
    <w:qFormat/>
    <w:uiPriority w:val="0"/>
    <w:rPr>
      <w:rFonts w:hint="eastAsia" w:ascii="宋体" w:hAnsi="宋体" w:eastAsia="宋体" w:cs="宋体"/>
      <w:color w:val="000000"/>
      <w:sz w:val="22"/>
      <w:szCs w:val="22"/>
      <w:u w:val="none"/>
    </w:rPr>
  </w:style>
  <w:style w:type="character" w:customStyle="1" w:styleId="8">
    <w:name w:val="页眉 Char"/>
    <w:basedOn w:val="5"/>
    <w:link w:val="4"/>
    <w:qFormat/>
    <w:uiPriority w:val="0"/>
    <w:rPr>
      <w:kern w:val="2"/>
      <w:sz w:val="18"/>
      <w:szCs w:val="18"/>
    </w:rPr>
  </w:style>
  <w:style w:type="character" w:customStyle="1" w:styleId="9">
    <w:name w:val="页脚 Char"/>
    <w:basedOn w:val="5"/>
    <w:link w:val="3"/>
    <w:qFormat/>
    <w:uiPriority w:val="0"/>
    <w:rPr>
      <w:kern w:val="2"/>
      <w:sz w:val="18"/>
      <w:szCs w:val="18"/>
    </w:rPr>
  </w:style>
  <w:style w:type="character" w:customStyle="1" w:styleId="10">
    <w:name w:val="font01"/>
    <w:basedOn w:val="5"/>
    <w:qFormat/>
    <w:uiPriority w:val="0"/>
    <w:rPr>
      <w:rFonts w:hint="eastAsia" w:ascii="宋体" w:hAnsi="宋体" w:eastAsia="宋体" w:cs="宋体"/>
      <w:color w:val="000000"/>
      <w:sz w:val="22"/>
      <w:szCs w:val="22"/>
      <w:u w:val="none"/>
    </w:rPr>
  </w:style>
  <w:style w:type="character" w:customStyle="1" w:styleId="11">
    <w:name w:val="font61"/>
    <w:basedOn w:val="5"/>
    <w:qFormat/>
    <w:uiPriority w:val="0"/>
    <w:rPr>
      <w:rFonts w:hint="eastAsia" w:ascii="宋体" w:hAnsi="宋体" w:eastAsia="宋体" w:cs="宋体"/>
      <w:color w:val="000000"/>
      <w:sz w:val="20"/>
      <w:szCs w:val="20"/>
      <w:u w:val="none"/>
    </w:rPr>
  </w:style>
  <w:style w:type="character" w:customStyle="1" w:styleId="12">
    <w:name w:val="font91"/>
    <w:basedOn w:val="5"/>
    <w:qFormat/>
    <w:uiPriority w:val="0"/>
    <w:rPr>
      <w:rFonts w:hint="default" w:ascii="Times New Roman" w:hAnsi="Times New Roman" w:cs="Times New Roman"/>
      <w:color w:val="000000"/>
      <w:sz w:val="20"/>
      <w:szCs w:val="20"/>
      <w:u w:val="none"/>
    </w:rPr>
  </w:style>
  <w:style w:type="character" w:customStyle="1" w:styleId="13">
    <w:name w:val="font8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199</Words>
  <Characters>1137</Characters>
  <Lines>9</Lines>
  <Paragraphs>2</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2021-02-25T07:44:09Z</dcterms:modified>
  <dc:title>锁具维修服务招标参数要求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