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人民医院视频监控系统升级改造需求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项目概况</w:t>
      </w:r>
    </w:p>
    <w:p>
      <w:pPr>
        <w:numPr>
          <w:ilvl w:val="0"/>
          <w:numId w:val="0"/>
        </w:num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人民医院18部电梯轿厢及门急诊、病区等处，年久老化监控摄像机需要更换；电梯口、步梯口等监控盲区，需要增加监控点位。更换老旧及新增安装监控摄像机120台左右，其余作为备用。重要监控节点线路和设备整理、整合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需求清单及参数要求</w:t>
      </w:r>
    </w:p>
    <w:tbl>
      <w:tblPr>
        <w:tblW w:w="8349" w:type="dxa"/>
        <w:tblInd w:w="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62"/>
        <w:gridCol w:w="713"/>
        <w:gridCol w:w="61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数量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高清半球摄像机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采用高性能400万像素1/2.8英寸CMOS图像传感器，低照度效果好，图像清晰度高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可输出400万@25fps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支持H.265编码，压缩比高，超低码流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最大红外监控距离30米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支持ROI，SMART H.264/H.265，灵活编码，适用不同带宽和存储环境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无SD卡；SD卡空间不足；SD卡出错；网络断开；IP冲突；移动检测；视频遮挡；区域入侵；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绊线入侵；场景变更；非法访问；电压检测；安全异常；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支持256G SD卡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支持DC12V/POE供电方式，电压值12V，方便工程安装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支持IP67，IK10防护等级  内置拾音器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高清半球摄像机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采用高性能两百万像素1/2.8英寸CMOS图像传感器，低照度效果好，图像清晰度高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可输出200万@25fps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支持H.265编码，压缩比高，超低码流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最大红外监控距离50米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支持ROI，SMART H.264/H.265，灵活编码，适用不同带宽和存储环境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网络断开；IP冲突；移动检测；视频遮挡；区域入侵；绊线入侵；场景变更；非法访问；电压检测；安全异常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支持DC12V/POE供电方式，电压值12V，方便工程安装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支持IP67防护等级     内置拾音器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高清枪型摄像机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采用高性能两百万像素1/2.8英寸CMOS图像传感器，低照度效果好，图像清晰度高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可输出200万@25fps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支持H.265编码，压缩比高，超低码流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最大红外监控距离50米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支持走廊模式，宽动态，3D降噪，强光抑制，背光补偿，数字水印，适用不同监控环境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支持ROI，SMART H.264/H.265，灵活编码，适用不同带宽和存储环境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网络断开；IP冲突；移动检测；视频遮挡；区域入侵；绊线入侵；场景变更；非法访问；电压检测；安全异常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支持DC12V/POE供电方式，电压值12V，方便工程安装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支持IP67防护等级     内置拾音器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摄像机支架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网线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国标六类防水网线，单股铜芯直径≥0.51mm。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电源线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RVV3x1.5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室外光缆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外护套材料：聚乙烯（PE）光缆加强件：中心单根高强度磷化钢丝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钢丝直径：1.0mm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铠装层：双面镀铬涂塑钢带（PSP）纵包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松套管材质：PBT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芯数：12芯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可选光纤类型：OS2单模光纤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敷设方式：直埋适用，进局、管道、槽道、电缆沟、架空可用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跳纤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Wingdings 2" w:hAnsi="Wingdings 2" w:eastAsia="Wingdings 2" w:cs="Wingdings 2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Wingdings 2" w:hAnsi="Wingdings 2" w:eastAsia="Wingdings 2" w:cs="Wingdings 2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连接器插针类型：进口陶瓷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插针端面：PC端面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连接器插入损耗：≤0.1dB/每接口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连接器回波损耗：≥45dB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重复性：≤0.1dB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互换性：≤0.1dB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拔插次数：≥1000次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跳线线缆类型：单芯紧套式室内光缆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ascii="Symbol" w:hAnsi="Symbol" w:eastAsia="Wingdings 2" w:cs="Symbol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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 xml:space="preserve">线缆外径：3.0mm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护套材质：PVC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8个10/100Base-TX以太网端口（PoE+），2个10/100/1000Base-T以太网端口和2个复用的100/1000Base-X SFP端口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pvc埋线管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16Φ、国标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3500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米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光线收发器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接口：SC；传输距离≥20KM；发射功率≥20db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硬盘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10T监控级硬盘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块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硬盘录像机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·64路、配合10T监控硬盘使用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·支持萤石云服务；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·可接驳符合ONVIF、RTSP标准及众多主流厂商的网络摄像机；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·支持最高1200W高清网络视频的预览、存储与回放；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·支持H.265、H.264编码前端自适应接入；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·支持IPC集中管理，包括IPC参数配置、信息的导入/导出和升级等功能；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·支持2个HDMI和2个VGA同时输出，其中HDMI1支持4K高清分辨率输出；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·便捷的UI操作界面，支持一键开启录像功能；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·支持海康Smart IPC越界、进入区域、离开区域、区域入侵、徘徊、人员聚焦、快速移动、非法停车、物品遗留、物品拿取、人脸、车牌、音频输入异常、声强突变、虚焦以及场景变更等多种智能侦测接入与联动，支持智能搜索、回放及备份功能，有效提高录像检索与回放效率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·支持即时回放功能，在预览画面下对指定通道的当前录像进行回放，并且不影响其他通道预览；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·支持最大16路同步回放及多路同步倒放；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·支持标签定义、查询、回放录像文件；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·支持重要录像文件加锁保护功能；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·支持硬盘配额和硬盘盘组两种存储模式，可对不同通道分配不同的录像保存容量或周期；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·支持16个SATA接口，1个eSATA盘库，可用于录像和备份；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·支持RAID0、RAID1、RAID5、RAID6和RAID10；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·双千兆网卡，支持多址设定等应用；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·支持GB28181协议、Ehome协议接入平台；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·支持网络检测（网络流量监控、网络抓包、网络通畅）功能。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摄像机电源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12V2A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汇聚交换机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48口、全千兆电口、</w:t>
            </w:r>
            <w:r>
              <w:rPr>
                <w:rStyle w:val="11"/>
                <w:rFonts w:eastAsia="宋体"/>
                <w:bdr w:val="none" w:color="auto" w:sz="0" w:space="0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4万兆SFP口、含配套光模块≥4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无线网桥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2.4G，300M电梯专用款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对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多位插排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6位、国内一线品牌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室内多媒体汇聚箱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1.材质：不锈钢，2.壁厚≥1.0mm，300*250*150 宽*高*深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空气开关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2P16A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电源延长线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配套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线路布放施工费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包含安装、调试及水晶头，电工胶布、电子标签、光纤熔接盒等各类施工所需辅材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项</w:t>
            </w:r>
          </w:p>
        </w:tc>
      </w:tr>
    </w:tbl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pStyle w:val="10"/>
        <w:numPr>
          <w:ilvl w:val="0"/>
          <w:numId w:val="2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10"/>
        <w:numPr>
          <w:ilvl w:val="0"/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10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个月</w:t>
      </w:r>
      <w:bookmarkStart w:id="0" w:name="_GoBack"/>
      <w:bookmarkEnd w:id="0"/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三年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</w:t>
      </w:r>
      <w:r>
        <w:rPr>
          <w:rFonts w:hint="eastAsia"/>
          <w:bCs/>
          <w:sz w:val="28"/>
          <w:szCs w:val="28"/>
          <w:lang w:val="en-US" w:eastAsia="zh-CN"/>
        </w:rPr>
        <w:t>30日后</w:t>
      </w:r>
      <w:r>
        <w:rPr>
          <w:rFonts w:hint="eastAsia"/>
          <w:bCs/>
          <w:sz w:val="28"/>
          <w:szCs w:val="28"/>
        </w:rPr>
        <w:t>，支付合同总价的</w:t>
      </w:r>
      <w:r>
        <w:rPr>
          <w:rFonts w:hint="eastAsia"/>
          <w:bCs/>
          <w:sz w:val="28"/>
          <w:szCs w:val="28"/>
          <w:lang w:val="en-US" w:eastAsia="zh-CN"/>
        </w:rPr>
        <w:t>95</w:t>
      </w:r>
      <w:r>
        <w:rPr>
          <w:rFonts w:hint="eastAsia"/>
          <w:bCs/>
          <w:sz w:val="28"/>
          <w:szCs w:val="28"/>
        </w:rPr>
        <w:t>%，余款</w:t>
      </w:r>
      <w:r>
        <w:rPr>
          <w:rFonts w:hint="eastAsia"/>
          <w:bCs/>
          <w:sz w:val="28"/>
          <w:szCs w:val="28"/>
          <w:lang w:val="en-US" w:eastAsia="zh-CN"/>
        </w:rPr>
        <w:t>5%</w:t>
      </w:r>
      <w:r>
        <w:rPr>
          <w:rFonts w:hint="eastAsia"/>
          <w:bCs/>
          <w:sz w:val="28"/>
          <w:szCs w:val="28"/>
        </w:rPr>
        <w:t>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01DF5E"/>
    <w:multiLevelType w:val="singleLevel"/>
    <w:tmpl w:val="9501DF5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7DA76FC"/>
    <w:multiLevelType w:val="singleLevel"/>
    <w:tmpl w:val="E7DA76FC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72197"/>
    <w:rsid w:val="0C6317C2"/>
    <w:rsid w:val="19441332"/>
    <w:rsid w:val="1F9C0DAE"/>
    <w:rsid w:val="23966B7E"/>
    <w:rsid w:val="289A2723"/>
    <w:rsid w:val="3C862EBA"/>
    <w:rsid w:val="402F20DA"/>
    <w:rsid w:val="412A143B"/>
    <w:rsid w:val="447017DE"/>
    <w:rsid w:val="480858AF"/>
    <w:rsid w:val="4E262EFA"/>
    <w:rsid w:val="5342308F"/>
    <w:rsid w:val="695B1B45"/>
    <w:rsid w:val="69675000"/>
    <w:rsid w:val="6B1C464A"/>
    <w:rsid w:val="712F3AA1"/>
    <w:rsid w:val="7C606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lang w:bidi="he-IL"/>
    </w:rPr>
  </w:style>
  <w:style w:type="character" w:customStyle="1" w:styleId="6">
    <w:name w:val="font41"/>
    <w:basedOn w:val="5"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7">
    <w:name w:val="font31"/>
    <w:basedOn w:val="5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5"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9">
    <w:name w:val="font61"/>
    <w:basedOn w:val="5"/>
    <w:uiPriority w:val="0"/>
    <w:rPr>
      <w:rFonts w:ascii="Arial" w:hAnsi="Arial" w:cs="Arial"/>
      <w:color w:val="000000"/>
      <w:sz w:val="18"/>
      <w:szCs w:val="18"/>
      <w:u w:val="none"/>
    </w:rPr>
  </w:style>
  <w:style w:type="paragraph" w:customStyle="1" w:styleId="10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11">
    <w:name w:val="font71"/>
    <w:basedOn w:val="5"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苗雷</cp:lastModifiedBy>
  <cp:lastPrinted>2020-10-22T06:06:02Z</cp:lastPrinted>
  <dcterms:modified xsi:type="dcterms:W3CDTF">2020-10-22T06:15:20Z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