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3"/>
        <w:jc w:val="center"/>
      </w:pPr>
    </w:p>
    <w:p>
      <w:pPr>
        <w:spacing w:after="163"/>
        <w:jc w:val="center"/>
      </w:pPr>
    </w:p>
    <w:p>
      <w:pPr>
        <w:snapToGrid w:val="0"/>
        <w:spacing w:before="0" w:beforeAutospacing="0" w:after="0" w:afterAutospacing="0" w:line="360" w:lineRule="auto"/>
        <w:jc w:val="center"/>
        <w:rPr>
          <w:rFonts w:cs="Times New Roman"/>
          <w:b/>
          <w:sz w:val="52"/>
          <w:szCs w:val="52"/>
        </w:rPr>
      </w:pPr>
    </w:p>
    <w:p>
      <w:pPr>
        <w:snapToGrid w:val="0"/>
        <w:spacing w:before="0" w:beforeAutospacing="0" w:after="0" w:afterAutospacing="0" w:line="360" w:lineRule="auto"/>
        <w:jc w:val="center"/>
        <w:rPr>
          <w:rFonts w:hint="eastAsia" w:cs="Times New Roman"/>
          <w:b/>
          <w:sz w:val="52"/>
          <w:szCs w:val="52"/>
          <w:lang w:val="en-US" w:eastAsia="zh-CN"/>
        </w:rPr>
      </w:pPr>
      <w:r>
        <w:rPr>
          <w:rFonts w:hint="eastAsia" w:cs="Times New Roman"/>
          <w:b/>
          <w:sz w:val="52"/>
          <w:szCs w:val="52"/>
          <w:lang w:val="en-US" w:eastAsia="zh-CN"/>
        </w:rPr>
        <w:t>马鞍山市人民医院</w:t>
      </w:r>
    </w:p>
    <w:p>
      <w:pPr>
        <w:snapToGrid w:val="0"/>
        <w:spacing w:before="0" w:beforeAutospacing="0" w:after="0" w:afterAutospacing="0" w:line="360" w:lineRule="auto"/>
        <w:jc w:val="center"/>
        <w:rPr>
          <w:rFonts w:hint="default" w:eastAsia="宋体" w:cs="Times New Roman"/>
          <w:b/>
          <w:sz w:val="52"/>
          <w:szCs w:val="52"/>
          <w:lang w:val="en-US" w:eastAsia="zh-CN"/>
        </w:rPr>
      </w:pPr>
      <w:bookmarkStart w:id="44" w:name="_GoBack"/>
      <w:bookmarkEnd w:id="44"/>
      <w:r>
        <w:rPr>
          <w:rFonts w:hint="eastAsia" w:cs="Times New Roman"/>
          <w:b/>
          <w:sz w:val="52"/>
          <w:szCs w:val="52"/>
        </w:rPr>
        <w:t>临床药理管理</w:t>
      </w:r>
      <w:r>
        <w:rPr>
          <w:rFonts w:hint="eastAsia" w:cs="Times New Roman"/>
          <w:b/>
          <w:sz w:val="52"/>
          <w:szCs w:val="52"/>
          <w:lang w:val="en-US" w:eastAsia="zh-CN"/>
        </w:rPr>
        <w:t>采购需求</w:t>
      </w:r>
    </w:p>
    <w:p>
      <w:pPr>
        <w:spacing w:after="120" w:line="280" w:lineRule="exact"/>
        <w:jc w:val="center"/>
        <w:rPr>
          <w:rFonts w:ascii="黑体" w:hAnsi="黑体" w:eastAsia="黑体"/>
          <w:color w:val="000000"/>
          <w:sz w:val="21"/>
        </w:rPr>
      </w:pPr>
      <w:r>
        <w:rPr>
          <w:rFonts w:ascii="黑体" w:hAnsi="黑体" w:eastAsia="黑体"/>
          <w:color w:val="000000"/>
          <w:sz w:val="21"/>
        </w:rPr>
        <w:br w:type="page"/>
      </w:r>
    </w:p>
    <w:sdt>
      <w:sdtPr>
        <w:rPr>
          <w:b/>
          <w:bCs/>
          <w:sz w:val="21"/>
          <w:lang w:val="zh-CN"/>
        </w:rPr>
        <w:id w:val="-1390724433"/>
        <w:docPartObj>
          <w:docPartGallery w:val="Table of Contents"/>
          <w:docPartUnique/>
        </w:docPartObj>
      </w:sdtPr>
      <w:sdtEndPr>
        <w:rPr>
          <w:b w:val="0"/>
          <w:bCs w:val="0"/>
          <w:sz w:val="24"/>
          <w:lang w:val="zh-CN"/>
        </w:rPr>
      </w:sdtEndPr>
      <w:sdtContent>
        <w:p>
          <w:pPr>
            <w:widowControl/>
            <w:spacing w:before="0" w:beforeAutospacing="0" w:after="0" w:afterAutospacing="0" w:line="240" w:lineRule="auto"/>
            <w:rPr>
              <w:b w:val="0"/>
              <w:bCs w:val="0"/>
              <w:sz w:val="24"/>
              <w:lang w:val="zh-CN"/>
            </w:rPr>
          </w:pPr>
        </w:p>
      </w:sdtContent>
    </w:sdt>
    <w:p>
      <w:pPr>
        <w:widowControl/>
        <w:spacing w:before="0" w:beforeAutospacing="0" w:after="0" w:afterAutospacing="0" w:line="240" w:lineRule="auto"/>
        <w:rPr>
          <w:b w:val="0"/>
          <w:bCs w:val="0"/>
          <w:sz w:val="24"/>
          <w:lang w:val="zh-CN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一、项目概况</w:t>
      </w:r>
    </w:p>
    <w:p>
      <w:pPr>
        <w:pStyle w:val="4"/>
        <w:numPr>
          <w:ilvl w:val="0"/>
          <w:numId w:val="2"/>
        </w:numPr>
        <w:spacing w:before="120" w:after="120" w:line="276" w:lineRule="auto"/>
        <w:ind w:left="643" w:hanging="482" w:hangingChars="20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</w:t>
      </w:r>
      <w:bookmarkStart w:id="0" w:name="_Toc334162369"/>
      <w:r>
        <w:rPr>
          <w:rFonts w:hint="eastAsia" w:ascii="宋体" w:hAnsi="宋体"/>
          <w:b/>
          <w:bCs/>
          <w:sz w:val="24"/>
          <w:szCs w:val="24"/>
        </w:rPr>
        <w:t>网络基础设施建设</w:t>
      </w:r>
      <w:bookmarkEnd w:id="0"/>
    </w:p>
    <w:p>
      <w:pPr>
        <w:pStyle w:val="81"/>
        <w:ind w:firstLine="560"/>
        <w:rPr>
          <w:rFonts w:hint="eastAsia" w:eastAsia="仿宋"/>
          <w:lang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医院本部与东院两院区网络</w:t>
      </w:r>
      <w:r>
        <w:rPr>
          <w:rFonts w:hint="eastAsia" w:ascii="仿宋" w:hAnsi="仿宋" w:eastAsia="仿宋"/>
          <w:sz w:val="28"/>
          <w:szCs w:val="28"/>
        </w:rPr>
        <w:t>系统总体结构和逻辑结构拓扑图如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下</w:t>
      </w:r>
      <w:r>
        <w:rPr>
          <w:rFonts w:hint="eastAsia" w:ascii="仿宋" w:hAnsi="仿宋" w:eastAsia="仿宋"/>
          <w:sz w:val="28"/>
          <w:szCs w:val="28"/>
        </w:rPr>
        <w:t>图所示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p>
      <w:pPr>
        <w:spacing w:line="360" w:lineRule="auto"/>
        <w:ind w:firstLine="480" w:firstLineChars="200"/>
        <w:jc w:val="center"/>
      </w:pPr>
      <w:bookmarkStart w:id="1" w:name="_Toc28806798"/>
      <w:r>
        <w:drawing>
          <wp:inline distT="0" distB="0" distL="114300" distR="114300">
            <wp:extent cx="4866005" cy="3453130"/>
            <wp:effectExtent l="0" t="0" r="10795" b="1397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1"/>
        <w:ind w:firstLine="560"/>
      </w:pPr>
      <w:r>
        <w:rPr>
          <w:rFonts w:hint="eastAsia" w:ascii="仿宋" w:hAnsi="仿宋" w:eastAsia="仿宋"/>
          <w:sz w:val="28"/>
          <w:szCs w:val="28"/>
        </w:rPr>
        <w:t>医院整体核心业务系统部署在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医院本部</w:t>
      </w:r>
      <w:r>
        <w:rPr>
          <w:rFonts w:hint="eastAsia" w:ascii="仿宋" w:hAnsi="仿宋" w:eastAsia="仿宋"/>
          <w:sz w:val="28"/>
          <w:szCs w:val="28"/>
        </w:rPr>
        <w:t>数据中心机房，两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/>
          <w:sz w:val="28"/>
          <w:szCs w:val="28"/>
        </w:rPr>
        <w:t>区核心交换机通过裸光纤实现互联互通。</w:t>
      </w:r>
    </w:p>
    <w:bookmarkEnd w:id="1"/>
    <w:p>
      <w:pPr>
        <w:pStyle w:val="4"/>
        <w:numPr>
          <w:ilvl w:val="0"/>
          <w:numId w:val="2"/>
        </w:numPr>
        <w:spacing w:before="120" w:after="120" w:line="276" w:lineRule="auto"/>
        <w:ind w:left="643" w:hanging="482" w:hangingChars="200"/>
        <w:rPr>
          <w:rFonts w:hint="eastAsia" w:ascii="宋体" w:hAnsi="宋体"/>
          <w:b/>
          <w:bCs/>
          <w:sz w:val="24"/>
          <w:szCs w:val="24"/>
        </w:rPr>
      </w:pPr>
      <w:bookmarkStart w:id="2" w:name="_Toc334162371"/>
      <w:r>
        <w:rPr>
          <w:rFonts w:hint="eastAsia" w:ascii="宋体" w:hAnsi="宋体"/>
          <w:b/>
          <w:bCs/>
          <w:sz w:val="24"/>
          <w:szCs w:val="24"/>
        </w:rPr>
        <w:t>应用系统</w:t>
      </w:r>
      <w:bookmarkEnd w:id="2"/>
    </w:p>
    <w:p>
      <w:pPr>
        <w:pStyle w:val="43"/>
        <w:ind w:firstLine="560"/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Times New Roman" w:hAnsi="Times New Roman"/>
          <w:kern w:val="2"/>
          <w:sz w:val="24"/>
          <w:szCs w:val="22"/>
          <w:lang w:val="en-US" w:eastAsia="zh-CN" w:bidi="ar-SA"/>
        </w:rPr>
        <w:t>市人民医院东华HIS系统模块清单：</w:t>
      </w:r>
    </w:p>
    <w:tbl>
      <w:tblPr>
        <w:tblStyle w:val="3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049"/>
        <w:gridCol w:w="1101"/>
        <w:gridCol w:w="58"/>
        <w:gridCol w:w="6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551" w:type="pct"/>
            <w:gridSpan w:val="4"/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仿宋_GB2312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系统名称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医院信息平台</w:t>
            </w:r>
          </w:p>
        </w:tc>
        <w:tc>
          <w:tcPr>
            <w:tcW w:w="624" w:type="pct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集成平台</w:t>
            </w: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医院服务总线（基础平台及运维监控）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平台服务集成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统一身份认证（单点登陆）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统一账户权限管理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患者主索引管理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主数据（术语及字典）管理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临床数据中心</w:t>
            </w: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集中式数据存储和管理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患者临床信息统一视图浏览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对外数据服务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统一数据上报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共享文档配置管理（互联互通标准符合性测评）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全流程闭环应用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临床辅助决策系统</w:t>
            </w: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临床规则管理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医疗质量（安全）预警监控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4" w:type="pct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61" w:type="pc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临床知识库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运营数据中心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运营决策支持系统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三甲医院指标统计与分析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医保分析与评价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用药分析与评价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门诊住院综合分析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临床科主任决策支持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院长决策支持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移动决策支持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HIS系统</w:t>
            </w: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就诊卡管理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患者基本信息管理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预付费管理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7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门急诊预约挂号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门诊分诊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门急诊收费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门诊医生工作站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门诊护士工作站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门诊配输液管理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急诊管理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急诊预检分诊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急诊一体化医护工作站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急诊电子病历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仪器连接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急诊科管理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出入院管理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床位管理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医技收费及确认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手麻收费管理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住院医生工作站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移动医生工作站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住院护士工作站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日间手术管理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会诊管理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陪护管理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住院静脉配置中心管理（预留）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药品管理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门急诊中西药房管理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住院药房管理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移动药房APP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其他子系统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综合查询与统计报表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系统维护管理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应急系统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电子病历系统</w:t>
            </w: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门诊电子病历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住院电子病历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病历质控管理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电子病历归档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归档病历全文检索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病案首页质控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医技及辅检管理</w:t>
            </w: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医学影像信息管理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医学影像传输与归档系统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放射科信息系统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超声影像信息管理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内窥镜影像信息管理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病理管理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输血信息管理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透析治疗信息管理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康复信息管理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</w:pPr>
            <w:r>
              <w:rPr>
                <w:rFonts w:hint="eastAsia" w:ascii="宋体" w:hAnsi="宋体" w:cs="宋体"/>
                <w:sz w:val="24"/>
                <w:szCs w:val="24"/>
              </w:rPr>
              <w:t>体检信息管理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医务综合管理</w:t>
            </w: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患者服务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统一预约服务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随访服务管理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满意度评价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医疗风险管控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医疗不良事件管理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临床危急值管理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VTE（</w:t>
            </w:r>
            <w:r>
              <w:rPr>
                <w:rFonts w:ascii="宋体" w:hAnsi="宋体" w:cs="宋体"/>
                <w:sz w:val="24"/>
                <w:szCs w:val="24"/>
              </w:rPr>
              <w:t>静脉血栓栓塞症</w:t>
            </w:r>
            <w:r>
              <w:rPr>
                <w:rFonts w:hint="eastAsia" w:ascii="宋体" w:hAnsi="宋体" w:cs="宋体"/>
                <w:sz w:val="24"/>
                <w:szCs w:val="24"/>
              </w:rPr>
              <w:t>）风险评估管理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报卡管理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传染病信息上报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重大疾病信息上报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食源性疾病信息上报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突发公共卫生信息上报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医务管理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医师资质授权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死亡证明书管理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25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临床路径管理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医院感染监测管理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护理综合管理</w:t>
            </w: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护理人员管理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护理排班（交班）管理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护理不良事件管理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护士长管理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护理敏感质量指标管理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护理文书系统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移动护士工作站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护理白板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护理健康宣教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门诊移动输液管理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医院运营管理</w:t>
            </w: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全面预算管理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财务管理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会计核算系统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财务监审系统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成本核算管理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病种成本核算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科室全成本核算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医疗项目成本核算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绩效管理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绩效方案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绩效考核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绩效工资分配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固定资产与设备管理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固定资产管理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医疗设备管理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设备效益分析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移动设备管理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restart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物资供应链管理</w:t>
            </w: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后勤物资管理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卫生材料管理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39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高值耗材管理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医保控费管理及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DRGs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消毒供应室管理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营养膳食管理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药事管理</w:t>
            </w: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前置审方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合理用药监测管理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处方点评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抗菌药物管理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综合支付</w:t>
            </w: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综合</w:t>
            </w:r>
            <w:r>
              <w:rPr>
                <w:rFonts w:ascii="宋体" w:hAnsi="宋体"/>
                <w:sz w:val="24"/>
                <w:szCs w:val="24"/>
              </w:rPr>
              <w:t>支付平台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移动应用与诊间支付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资金</w:t>
            </w:r>
            <w:r>
              <w:rPr>
                <w:rFonts w:hint="eastAsia" w:ascii="宋体" w:hAnsi="宋体"/>
                <w:sz w:val="24"/>
                <w:szCs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智能分诊导诊</w:t>
            </w: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智能分诊导诊软件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一体机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控制主机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448" w:type="pct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565" w:type="pct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自助系统</w:t>
            </w: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</w:pPr>
            <w:r>
              <w:rPr>
                <w:rFonts w:hint="eastAsia" w:ascii="宋体" w:hAnsi="宋体"/>
                <w:sz w:val="24"/>
                <w:szCs w:val="24"/>
              </w:rPr>
              <w:t>多功能自助机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448" w:type="pct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986" w:type="pct"/>
            <w:gridSpan w:val="3"/>
            <w:noWrap w:val="0"/>
            <w:vAlign w:val="bottom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自助服务软件</w:t>
            </w:r>
          </w:p>
        </w:tc>
      </w:tr>
    </w:tbl>
    <w:p>
      <w:pPr>
        <w:pStyle w:val="4"/>
        <w:numPr>
          <w:ilvl w:val="0"/>
          <w:numId w:val="2"/>
        </w:numPr>
        <w:spacing w:before="120" w:after="120" w:line="276" w:lineRule="auto"/>
        <w:ind w:left="643" w:hanging="482" w:hangingChars="20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数据中心</w:t>
      </w:r>
    </w:p>
    <w:p>
      <w:pPr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虚拟</w:t>
      </w:r>
      <w:r>
        <w:rPr>
          <w:rFonts w:hint="eastAsia"/>
          <w:sz w:val="24"/>
          <w:szCs w:val="24"/>
          <w:lang w:val="en-US" w:eastAsia="zh-CN"/>
        </w:rPr>
        <w:t>化数据中心现用</w:t>
      </w:r>
      <w:r>
        <w:rPr>
          <w:rFonts w:hint="eastAsia"/>
          <w:sz w:val="24"/>
          <w:szCs w:val="24"/>
        </w:rPr>
        <w:t>VMware vSphere 5.5</w:t>
      </w:r>
      <w:r>
        <w:rPr>
          <w:rFonts w:hint="eastAsia"/>
          <w:sz w:val="24"/>
          <w:szCs w:val="24"/>
          <w:lang w:val="en-US" w:eastAsia="zh-CN"/>
        </w:rPr>
        <w:t>和6.7两个版本</w:t>
      </w:r>
      <w:r>
        <w:rPr>
          <w:rFonts w:hint="eastAsia"/>
          <w:sz w:val="24"/>
          <w:szCs w:val="24"/>
        </w:rPr>
        <w:t>。现有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hint="eastAsia"/>
          <w:sz w:val="24"/>
          <w:szCs w:val="24"/>
        </w:rPr>
        <w:t>台ESXi</w:t>
      </w:r>
      <w:r>
        <w:rPr>
          <w:rFonts w:hint="eastAsia"/>
          <w:sz w:val="24"/>
          <w:szCs w:val="24"/>
          <w:lang w:val="en-US" w:eastAsia="zh-CN"/>
        </w:rPr>
        <w:t>物理</w:t>
      </w:r>
      <w:r>
        <w:rPr>
          <w:rFonts w:hint="eastAsia"/>
          <w:sz w:val="24"/>
          <w:szCs w:val="24"/>
        </w:rPr>
        <w:t>主机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sz w:val="20"/>
          <w:szCs w:val="21"/>
        </w:rPr>
      </w:pPr>
      <w:r>
        <w:rPr>
          <w:rFonts w:hint="eastAsia"/>
          <w:sz w:val="24"/>
          <w:szCs w:val="24"/>
        </w:rPr>
        <w:t>目前在用的存储有</w:t>
      </w:r>
      <w:r>
        <w:rPr>
          <w:rFonts w:hint="eastAsia"/>
          <w:sz w:val="24"/>
          <w:szCs w:val="24"/>
          <w:lang w:val="en-US" w:eastAsia="zh-CN"/>
        </w:rPr>
        <w:t>VSAN、</w:t>
      </w:r>
      <w:r>
        <w:rPr>
          <w:rFonts w:hint="eastAsia"/>
          <w:sz w:val="24"/>
          <w:szCs w:val="24"/>
        </w:rPr>
        <w:t>EMC VNX5100、NetApp E5400，宏衫MS3300、MS2520f用于虚拟化环境</w:t>
      </w:r>
      <w:r>
        <w:rPr>
          <w:rFonts w:hint="eastAsia"/>
          <w:sz w:val="24"/>
          <w:szCs w:val="24"/>
          <w:lang w:val="en-US" w:eastAsia="zh-CN"/>
        </w:rPr>
        <w:t>及影像数据</w:t>
      </w:r>
      <w:r>
        <w:rPr>
          <w:rFonts w:hint="eastAsia"/>
          <w:sz w:val="24"/>
          <w:szCs w:val="24"/>
        </w:rPr>
        <w:t>存储总容量</w:t>
      </w:r>
      <w:r>
        <w:rPr>
          <w:rFonts w:hint="eastAsia"/>
          <w:sz w:val="24"/>
          <w:szCs w:val="24"/>
          <w:lang w:val="en-US" w:eastAsia="zh-CN"/>
        </w:rPr>
        <w:t>100</w:t>
      </w:r>
      <w:r>
        <w:rPr>
          <w:rFonts w:hint="eastAsia"/>
          <w:sz w:val="24"/>
          <w:szCs w:val="24"/>
        </w:rPr>
        <w:t>T</w:t>
      </w:r>
      <w:r>
        <w:rPr>
          <w:rFonts w:hint="eastAsia"/>
          <w:sz w:val="24"/>
          <w:szCs w:val="24"/>
          <w:lang w:val="en-US" w:eastAsia="zh-CN"/>
        </w:rPr>
        <w:t>以上</w:t>
      </w:r>
      <w:r>
        <w:rPr>
          <w:rFonts w:hint="eastAsia"/>
          <w:sz w:val="24"/>
          <w:szCs w:val="24"/>
        </w:rPr>
        <w:t>。</w:t>
      </w:r>
    </w:p>
    <w:p>
      <w:pPr>
        <w:pStyle w:val="4"/>
        <w:numPr>
          <w:ilvl w:val="0"/>
          <w:numId w:val="2"/>
        </w:numPr>
        <w:spacing w:before="120" w:after="120" w:line="360" w:lineRule="auto"/>
        <w:ind w:left="643" w:hanging="482" w:hanging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存在的问题</w:t>
      </w:r>
    </w:p>
    <w:p>
      <w:pPr>
        <w:ind w:firstLine="482" w:firstLineChars="200"/>
        <w:rPr>
          <w:rFonts w:hint="eastAsia"/>
          <w:sz w:val="24"/>
        </w:rPr>
      </w:pPr>
      <w:r>
        <w:rPr>
          <w:rFonts w:hint="eastAsia"/>
          <w:b/>
          <w:sz w:val="24"/>
        </w:rPr>
        <w:t>需求调研：</w:t>
      </w:r>
      <w:r>
        <w:rPr>
          <w:rFonts w:hint="eastAsia"/>
          <w:sz w:val="24"/>
        </w:rPr>
        <w:t>医院有部分病人做临床试验，给临床试验病人做的部分项目不收费，涉及药品、检验、检查等。不收费的项目也有次数限制，患者也不可以无限制开出这些项目。医院目前采用手工申请盖章的方式，流程缓慢繁琐。</w:t>
      </w:r>
    </w:p>
    <w:p>
      <w:pPr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涉及科室</w:t>
      </w:r>
      <w:r>
        <w:rPr>
          <w:rFonts w:hint="eastAsia"/>
          <w:sz w:val="24"/>
        </w:rPr>
        <w:t>：药事科（项目设立、临床试验药品的发放等）、检查检验科室（临床试验病人部分检查检验免费做）</w:t>
      </w:r>
      <w:r>
        <w:rPr>
          <w:sz w:val="24"/>
        </w:rPr>
        <w:t>、</w:t>
      </w:r>
      <w:r>
        <w:rPr>
          <w:rFonts w:hint="eastAsia"/>
          <w:sz w:val="24"/>
        </w:rPr>
        <w:t>财务科（临床试验项目不收费、非临床试验项目正常收费）</w:t>
      </w:r>
    </w:p>
    <w:p>
      <w:pPr>
        <w:ind w:firstLine="482" w:firstLineChars="200"/>
        <w:rPr>
          <w:rFonts w:hint="eastAsia"/>
          <w:sz w:val="24"/>
        </w:rPr>
      </w:pPr>
      <w:r>
        <w:rPr>
          <w:rFonts w:hint="eastAsia"/>
          <w:b/>
          <w:sz w:val="24"/>
        </w:rPr>
        <w:t>东华HIS限制：</w:t>
      </w:r>
      <w:r>
        <w:rPr>
          <w:rFonts w:hint="eastAsia"/>
          <w:sz w:val="24"/>
        </w:rPr>
        <w:t>目前对于零费用的项目，特别是对于药品方面，系统不支持。如果强行修改，涉及的模块较多、范围较广，容易产生新的系统问题并且存在漏费风险。</w:t>
      </w:r>
    </w:p>
    <w:p>
      <w:pPr>
        <w:ind w:firstLine="482" w:firstLineChars="200"/>
        <w:rPr>
          <w:rFonts w:hint="eastAsia"/>
          <w:sz w:val="24"/>
        </w:rPr>
      </w:pPr>
      <w:r>
        <w:rPr>
          <w:rFonts w:hint="eastAsia"/>
          <w:b/>
          <w:sz w:val="24"/>
        </w:rPr>
        <w:t>总结：</w:t>
      </w:r>
      <w:r>
        <w:rPr>
          <w:rFonts w:hint="eastAsia"/>
          <w:sz w:val="24"/>
        </w:rPr>
        <w:t>当前东华系统所上模块不能满足临床试验的需求，且修改困难、风险较大，最好采用单独的模块或系统进行管理、统计。</w:t>
      </w:r>
    </w:p>
    <w:p>
      <w:pPr>
        <w:rPr>
          <w:rFonts w:hint="eastAsia"/>
          <w:sz w:val="24"/>
        </w:rPr>
      </w:pPr>
      <w:r>
        <w:rPr>
          <w:rFonts w:hint="eastAsia"/>
          <w:b/>
          <w:sz w:val="24"/>
        </w:rPr>
        <w:t>东华临床药理管理模块功能如下</w:t>
      </w:r>
      <w:r>
        <w:rPr>
          <w:rFonts w:hint="eastAsia"/>
          <w:sz w:val="24"/>
        </w:rPr>
        <w:t>：</w:t>
      </w:r>
    </w:p>
    <w:p>
      <w:pPr>
        <w:pStyle w:val="43"/>
        <w:numPr>
          <w:ilvl w:val="0"/>
          <w:numId w:val="3"/>
        </w:numPr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临床试验立项：医院根据自身需求可以自行增加试验项目，关联相关临床科室，设置免费项目及次数，资金池充值以及余额查询等。</w:t>
      </w:r>
    </w:p>
    <w:p>
      <w:pPr>
        <w:pStyle w:val="43"/>
        <w:numPr>
          <w:ilvl w:val="0"/>
          <w:numId w:val="3"/>
        </w:numPr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添加项目参与者：</w:t>
      </w:r>
      <w:r>
        <w:rPr>
          <w:sz w:val="24"/>
        </w:rPr>
        <w:t>有权限的医生</w:t>
      </w:r>
      <w:r>
        <w:rPr>
          <w:rFonts w:hint="eastAsia"/>
          <w:sz w:val="24"/>
        </w:rPr>
        <w:t>能够把病人拉入到某个临床试验项目，或者取消加入。</w:t>
      </w:r>
    </w:p>
    <w:p>
      <w:pPr>
        <w:pStyle w:val="43"/>
        <w:numPr>
          <w:ilvl w:val="0"/>
          <w:numId w:val="3"/>
        </w:numPr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病人折扣记账系数维护：免费项目按比例计算应缴费用。</w:t>
      </w:r>
    </w:p>
    <w:p>
      <w:pPr>
        <w:pStyle w:val="43"/>
        <w:numPr>
          <w:ilvl w:val="0"/>
          <w:numId w:val="3"/>
        </w:numPr>
        <w:ind w:firstLineChars="0"/>
        <w:rPr>
          <w:sz w:val="24"/>
        </w:rPr>
      </w:pPr>
      <w:r>
        <w:rPr>
          <w:rFonts w:hint="eastAsia"/>
          <w:sz w:val="24"/>
        </w:rPr>
        <w:t>临床药理医嘱录入：单独界面录入免费项目。</w:t>
      </w: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widowControl/>
        <w:spacing w:line="460" w:lineRule="exact"/>
        <w:ind w:hanging="2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二、技术要求</w:t>
      </w:r>
    </w:p>
    <w:p>
      <w:pPr>
        <w:pStyle w:val="3"/>
        <w:spacing w:before="163" w:after="163"/>
      </w:pPr>
      <w:bookmarkStart w:id="3" w:name="_Toc3101971"/>
      <w:bookmarkStart w:id="4" w:name="_Toc415348556"/>
      <w:r>
        <w:rPr>
          <w:rFonts w:hint="eastAsia"/>
        </w:rPr>
        <w:t>概述</w:t>
      </w:r>
      <w:bookmarkEnd w:id="3"/>
      <w:bookmarkEnd w:id="4"/>
    </w:p>
    <w:p>
      <w:pPr>
        <w:ind w:firstLine="420"/>
        <w:rPr>
          <w:rFonts w:asciiTheme="minorEastAsia" w:hAnsiTheme="minorEastAsia"/>
          <w:szCs w:val="24"/>
        </w:rPr>
      </w:pPr>
      <w:r>
        <w:rPr>
          <w:rFonts w:hint="eastAsia" w:asciiTheme="minorEastAsia" w:hAnsiTheme="minorEastAsia"/>
          <w:szCs w:val="24"/>
        </w:rPr>
        <w:t>临床药理管理的总体流程：</w:t>
      </w:r>
    </w:p>
    <w:p>
      <w:pPr>
        <w:pStyle w:val="54"/>
      </w:pPr>
      <w:r>
        <w:rPr>
          <w:rFonts w:hint="eastAsia"/>
        </w:rPr>
        <w:t>设置科研专业组:设置可以进行临床药理实验的科室</w:t>
      </w:r>
    </w:p>
    <w:p>
      <w:pPr>
        <w:pStyle w:val="54"/>
      </w:pPr>
      <w:r>
        <w:rPr>
          <w:rFonts w:hint="eastAsia"/>
        </w:rPr>
        <w:t>临床药理设置：设置医嘱子类、门诊和住院病人对应的药理项目费别</w:t>
      </w:r>
    </w:p>
    <w:p>
      <w:pPr>
        <w:pStyle w:val="54"/>
      </w:pPr>
      <w:r>
        <w:rPr>
          <w:rFonts w:hint="eastAsia"/>
        </w:rPr>
        <w:t>临床试验立项，维护项目参与者：设置临床药理项目和该项目的参与医生</w:t>
      </w:r>
    </w:p>
    <w:p>
      <w:pPr>
        <w:pStyle w:val="54"/>
      </w:pPr>
      <w:r>
        <w:rPr>
          <w:rFonts w:hint="eastAsia"/>
        </w:rPr>
        <w:t>病人折扣记账系数维护：设置药理项目相关费别的折扣记账系数</w:t>
      </w:r>
    </w:p>
    <w:p>
      <w:pPr>
        <w:pStyle w:val="54"/>
      </w:pPr>
      <w:r>
        <w:rPr>
          <w:rFonts w:hint="eastAsia"/>
        </w:rPr>
        <w:t>加入科研项目：在病人列表中，将患者加入科研项</w:t>
      </w:r>
    </w:p>
    <w:p>
      <w:pPr>
        <w:pStyle w:val="54"/>
      </w:pPr>
      <w:r>
        <w:rPr>
          <w:rFonts w:hint="eastAsia"/>
        </w:rPr>
        <w:t>由【临床受试者列表】进入医嘱录入界面，录入医嘱并审核，此时的医嘱费别为门诊和住院病人对应的药理项目费别</w:t>
      </w:r>
    </w:p>
    <w:p>
      <w:pPr>
        <w:pStyle w:val="54"/>
      </w:pPr>
      <w:r>
        <w:rPr>
          <w:rFonts w:hint="eastAsia"/>
        </w:rPr>
        <w:t>收费时按设定的折扣记账系数给予优惠</w:t>
      </w:r>
    </w:p>
    <w:p>
      <w:pPr>
        <w:ind w:firstLine="420"/>
        <w:rPr>
          <w:rFonts w:asciiTheme="minorEastAsia" w:hAnsiTheme="minorEastAsia"/>
          <w:szCs w:val="24"/>
        </w:rPr>
      </w:pPr>
      <w:r>
        <w:rPr>
          <w:rFonts w:hint="eastAsia" w:asciiTheme="minorEastAsia" w:hAnsiTheme="minorEastAsia"/>
          <w:szCs w:val="24"/>
        </w:rPr>
        <w:t>本文后续章节以门诊临床药理举例说明。</w:t>
      </w:r>
    </w:p>
    <w:p>
      <w:pPr>
        <w:pStyle w:val="3"/>
        <w:spacing w:before="163" w:after="163"/>
      </w:pPr>
      <w:bookmarkStart w:id="5" w:name="_Toc415348557"/>
      <w:bookmarkStart w:id="6" w:name="_Toc3101972"/>
      <w:r>
        <w:t>临床</w:t>
      </w:r>
      <w:r>
        <w:rPr>
          <w:rFonts w:hint="eastAsia"/>
        </w:rPr>
        <w:t>药理设置</w:t>
      </w:r>
      <w:bookmarkEnd w:id="5"/>
      <w:bookmarkEnd w:id="6"/>
    </w:p>
    <w:p>
      <w:pPr>
        <w:pStyle w:val="4"/>
        <w:spacing w:before="163" w:after="163"/>
      </w:pPr>
      <w:bookmarkStart w:id="7" w:name="_Toc3101973"/>
      <w:r>
        <w:rPr>
          <w:rFonts w:hint="eastAsia"/>
        </w:rPr>
        <w:t>药理设置</w:t>
      </w:r>
      <w:bookmarkEnd w:id="7"/>
    </w:p>
    <w:p>
      <w:pPr>
        <w:pStyle w:val="52"/>
      </w:pPr>
      <w:r>
        <w:drawing>
          <wp:inline distT="0" distB="0" distL="0" distR="0">
            <wp:extent cx="5759450" cy="394271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42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</w:t>
      </w:r>
      <w:r>
        <w:fldChar w:fldCharType="end"/>
      </w:r>
    </w:p>
    <w:p>
      <w:pPr>
        <w:pStyle w:val="54"/>
      </w:pPr>
      <w:r>
        <w:rPr>
          <w:rFonts w:hint="eastAsia"/>
        </w:rPr>
        <w:t>药理子类：临床药理患者可以下的子类（只对药品子类起作用）。</w:t>
      </w:r>
    </w:p>
    <w:p>
      <w:pPr>
        <w:pStyle w:val="54"/>
      </w:pPr>
      <w:r>
        <w:rPr>
          <w:rFonts w:hint="eastAsia"/>
        </w:rPr>
        <w:t>超级科室：</w:t>
      </w:r>
      <w:r>
        <w:t>超级科室可见所有科研项目病人</w:t>
      </w:r>
      <w:r>
        <w:rPr>
          <w:rFonts w:hint="eastAsia"/>
        </w:rPr>
        <w:t>。</w:t>
      </w:r>
    </w:p>
    <w:p>
      <w:pPr>
        <w:pStyle w:val="54"/>
      </w:pPr>
      <w:r>
        <w:rPr>
          <w:rFonts w:hint="eastAsia"/>
        </w:rPr>
        <w:t>有汇款记录才能加入受试者：勾选该项，只有维护了付款记录的项目才能成功加入受试者，否则患者不能加入该项目。</w:t>
      </w:r>
    </w:p>
    <w:p>
      <w:pPr>
        <w:pStyle w:val="54"/>
      </w:pPr>
      <w:r>
        <w:rPr>
          <w:rFonts w:hint="eastAsia"/>
        </w:rPr>
        <w:t>自动生成项目编号：勾选该项，维护“自动项目编号起始号”后，在【临床试验立项】界面不显示“项目代码”框，项目代码根据【自动项目编号起始号】自动生成；不勾选该项，【临床试验立项】界面显示“项目代码”框，须填写项目代码才能成功立项。</w:t>
      </w:r>
    </w:p>
    <w:p>
      <w:pPr>
        <w:pStyle w:val="54"/>
      </w:pPr>
      <w:r>
        <w:rPr>
          <w:rFonts w:hint="eastAsia"/>
        </w:rPr>
        <w:t>自动档案文件夹编号起始号：自动生成档案文件夹编号。</w:t>
      </w:r>
    </w:p>
    <w:p>
      <w:pPr>
        <w:pStyle w:val="54"/>
      </w:pPr>
      <w:r>
        <w:rPr>
          <w:rFonts w:hint="eastAsia"/>
        </w:rPr>
        <w:t>药理项目病人费别：设置门诊临床药理患者的医嘱费别。</w:t>
      </w:r>
    </w:p>
    <w:p>
      <w:pPr>
        <w:pStyle w:val="54"/>
      </w:pPr>
      <w:r>
        <w:rPr>
          <w:rFonts w:hint="eastAsia"/>
        </w:rPr>
        <w:t>住院药理项目病人费别：设置住院临床药理患者的医嘱费别。</w:t>
      </w:r>
    </w:p>
    <w:p>
      <w:pPr>
        <w:pStyle w:val="4"/>
        <w:spacing w:before="163" w:after="163"/>
      </w:pPr>
      <w:bookmarkStart w:id="8" w:name="_Toc3101974"/>
      <w:r>
        <w:rPr>
          <w:rFonts w:hint="eastAsia"/>
        </w:rPr>
        <w:t>科研专业组设置</w:t>
      </w:r>
      <w:bookmarkEnd w:id="8"/>
    </w:p>
    <w:p>
      <w:pPr>
        <w:pStyle w:val="13"/>
        <w:ind w:firstLine="480"/>
      </w:pPr>
      <w:r>
        <w:t>【科研专业组设置】界面用来设置可以进行临床药理实验的科室，如</w:t>
      </w:r>
      <w:r>
        <w:fldChar w:fldCharType="begin"/>
      </w:r>
      <w:r>
        <w:instrText xml:space="preserve"> REF _Ref2262463 \h 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2</w:t>
      </w:r>
      <w:r>
        <w:fldChar w:fldCharType="end"/>
      </w:r>
      <w:r>
        <w:rPr>
          <w:rFonts w:hint="eastAsia"/>
        </w:rPr>
        <w:t>，【临床试验立项】界面的“立项科室”下拉框的数据就是取的该界面设置的科室。</w:t>
      </w:r>
    </w:p>
    <w:p>
      <w:pPr>
        <w:pStyle w:val="52"/>
      </w:pPr>
      <w:r>
        <w:drawing>
          <wp:inline distT="0" distB="0" distL="0" distR="0">
            <wp:extent cx="4801235" cy="3757295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0422" cy="375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9" w:name="_Ref2262463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2</w:t>
      </w:r>
      <w:r>
        <w:fldChar w:fldCharType="end"/>
      </w:r>
      <w:bookmarkEnd w:id="9"/>
    </w:p>
    <w:p>
      <w:pPr>
        <w:pStyle w:val="4"/>
        <w:spacing w:before="163" w:after="163"/>
      </w:pPr>
      <w:bookmarkStart w:id="10" w:name="_Toc3101975"/>
      <w:r>
        <w:rPr>
          <w:rFonts w:hint="eastAsia"/>
        </w:rPr>
        <w:t>临床试验立项</w:t>
      </w:r>
      <w:bookmarkEnd w:id="10"/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24447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4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1" w:name="_Ref226245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3</w:t>
      </w:r>
      <w:r>
        <w:fldChar w:fldCharType="end"/>
      </w:r>
      <w:bookmarkEnd w:id="11"/>
    </w:p>
    <w:p>
      <w:pPr>
        <w:pStyle w:val="54"/>
      </w:pPr>
      <w:r>
        <w:rPr>
          <w:rFonts w:hint="eastAsia"/>
        </w:rPr>
        <w:t>开启医嘱限制：和【查询试验立项】中的“免费医嘱设置”配合使用，下个章节介绍。</w:t>
      </w:r>
    </w:p>
    <w:p>
      <w:pPr>
        <w:pStyle w:val="54"/>
      </w:pPr>
      <w:r>
        <w:rPr>
          <w:rFonts w:hint="eastAsia"/>
        </w:rPr>
        <w:t>只有</w:t>
      </w:r>
      <w:r>
        <w:t>立项后的主要研究者和其他科室负责人可使用该项目。</w:t>
      </w:r>
    </w:p>
    <w:p>
      <w:pPr>
        <w:pStyle w:val="54"/>
      </w:pPr>
      <w:r>
        <w:rPr>
          <w:rFonts w:hint="eastAsia"/>
        </w:rPr>
        <w:t>基础数据（如类别等）在【医生站配置】-【数据维护与处理】-【代码模块数据维护】中维护，如</w:t>
      </w:r>
      <w:r>
        <w:fldChar w:fldCharType="begin"/>
      </w:r>
      <w:r>
        <w:rPr>
          <w:rFonts w:hint="eastAsia"/>
        </w:rPr>
        <w:instrText xml:space="preserve">REF _Ref2262472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4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47396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74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2" w:name="_Ref2262472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4</w:t>
      </w:r>
      <w:r>
        <w:fldChar w:fldCharType="end"/>
      </w:r>
      <w:bookmarkEnd w:id="12"/>
    </w:p>
    <w:p>
      <w:pPr>
        <w:pStyle w:val="54"/>
      </w:pPr>
      <w:r>
        <w:rPr>
          <w:rFonts w:hint="eastAsia"/>
        </w:rPr>
        <w:t>打印预审表：立项完成后提示“是否打印预审表”，点击【确定】弹出方式选择界面，可以打印“伦理委员会审批记录”和“临床药理中心审批记录”。如</w:t>
      </w:r>
      <w:r>
        <w:fldChar w:fldCharType="begin"/>
      </w:r>
      <w:r>
        <w:rPr>
          <w:rFonts w:hint="eastAsia"/>
        </w:rPr>
        <w:instrText xml:space="preserve">REF _Ref2262477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5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249555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95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3" w:name="_Ref2262477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5</w:t>
      </w:r>
      <w:r>
        <w:fldChar w:fldCharType="end"/>
      </w:r>
      <w:bookmarkEnd w:id="13"/>
    </w:p>
    <w:p>
      <w:pPr>
        <w:pStyle w:val="4"/>
        <w:spacing w:before="163" w:after="163"/>
      </w:pPr>
      <w:bookmarkStart w:id="14" w:name="_Toc3101976"/>
      <w:r>
        <w:rPr>
          <w:rFonts w:hint="eastAsia"/>
        </w:rPr>
        <w:t>查询药理项目</w:t>
      </w:r>
      <w:bookmarkEnd w:id="14"/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1983105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83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6</w:t>
      </w:r>
      <w:r>
        <w:fldChar w:fldCharType="end"/>
      </w:r>
    </w:p>
    <w:p>
      <w:pPr>
        <w:pStyle w:val="54"/>
      </w:pPr>
      <w:r>
        <w:rPr>
          <w:rFonts w:hint="eastAsia"/>
        </w:rPr>
        <w:t>查询：根据输入的查询内容查询。</w:t>
      </w:r>
    </w:p>
    <w:p>
      <w:pPr>
        <w:pStyle w:val="54"/>
      </w:pPr>
      <w:r>
        <w:rPr>
          <w:rFonts w:hint="eastAsia"/>
        </w:rPr>
        <w:t>立项：打开【临床试验立项】界面，可进行立项操作。</w:t>
      </w:r>
    </w:p>
    <w:p>
      <w:pPr>
        <w:pStyle w:val="54"/>
      </w:pPr>
      <w:r>
        <w:rPr>
          <w:rFonts w:hint="eastAsia"/>
        </w:rPr>
        <w:t>付款记录：界面如</w:t>
      </w:r>
      <w:r>
        <w:fldChar w:fldCharType="begin"/>
      </w:r>
      <w:r>
        <w:rPr>
          <w:rFonts w:hint="eastAsia"/>
        </w:rPr>
        <w:instrText xml:space="preserve">REF _Ref2262494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7</w:t>
      </w:r>
      <w:r>
        <w:fldChar w:fldCharType="end"/>
      </w:r>
      <w:r>
        <w:rPr>
          <w:rFonts w:hint="eastAsia"/>
        </w:rPr>
        <w:t>，</w:t>
      </w:r>
      <w:r>
        <w:t>在【临床药理设置】中若设置了“有汇款记录才能加入受试者”，在【付款记录】中维护了付款记录的项目才能成功加入受试者，否则患者不能加入项目</w:t>
      </w:r>
      <w:r>
        <w:rPr>
          <w:rFonts w:hint="eastAsia"/>
        </w:rPr>
        <w:t>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2310130"/>
            <wp:effectExtent l="19050" t="0" r="0" b="0"/>
            <wp:docPr id="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10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5" w:name="_Ref226249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7</w:t>
      </w:r>
      <w:r>
        <w:fldChar w:fldCharType="end"/>
      </w:r>
      <w:bookmarkEnd w:id="15"/>
    </w:p>
    <w:p>
      <w:pPr>
        <w:pStyle w:val="54"/>
      </w:pPr>
      <w:r>
        <w:rPr>
          <w:rFonts w:hint="eastAsia"/>
        </w:rPr>
        <w:t>修改项目：可修改项目的基本信息、打印预审表和改变状态，如</w:t>
      </w:r>
      <w:r>
        <w:fldChar w:fldCharType="begin"/>
      </w:r>
      <w:r>
        <w:rPr>
          <w:rFonts w:hint="eastAsia"/>
        </w:rPr>
        <w:instrText xml:space="preserve">REF _Ref2262501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8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3336925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37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6" w:name="_Ref2262501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8</w:t>
      </w:r>
      <w:r>
        <w:fldChar w:fldCharType="end"/>
      </w:r>
      <w:bookmarkEnd w:id="16"/>
    </w:p>
    <w:p>
      <w:pPr>
        <w:pStyle w:val="54"/>
      </w:pPr>
      <w:r>
        <w:rPr>
          <w:rFonts w:hint="eastAsia"/>
        </w:rPr>
        <w:t>免费医嘱设置如</w:t>
      </w:r>
      <w:r>
        <w:fldChar w:fldCharType="begin"/>
      </w:r>
      <w:r>
        <w:rPr>
          <w:rFonts w:hint="eastAsia"/>
        </w:rPr>
        <w:instrText xml:space="preserve">REF _Ref2262508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9</w:t>
      </w:r>
      <w:r>
        <w:fldChar w:fldCharType="end"/>
      </w:r>
      <w:r>
        <w:rPr>
          <w:rFonts w:hint="eastAsia"/>
        </w:rPr>
        <w:t>，需要和“开启医嘱限制”配合使用。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2769870"/>
            <wp:effectExtent l="19050" t="0" r="0" b="0"/>
            <wp:docPr id="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6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7" w:name="_Ref2262508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9</w:t>
      </w:r>
      <w:r>
        <w:fldChar w:fldCharType="end"/>
      </w:r>
      <w:bookmarkEnd w:id="17"/>
    </w:p>
    <w:p>
      <w:pPr>
        <w:pStyle w:val="55"/>
      </w:pPr>
      <w:r>
        <w:rPr>
          <w:rFonts w:hint="eastAsia"/>
        </w:rPr>
        <w:t>开关开启，可在“免费医嘱设置”界面维护可开立的检验/检查医嘱，且临床药理项目下，无法录入【免费医嘱设置】界面未设置的非药品医嘱。</w:t>
      </w:r>
    </w:p>
    <w:p>
      <w:pPr>
        <w:pStyle w:val="13"/>
        <w:ind w:firstLine="480"/>
      </w:pPr>
      <w:r>
        <w:rPr>
          <w:rFonts w:hint="eastAsia"/>
        </w:rPr>
        <w:t>若勾选了“免费次数用尽后限制录入”，维护的检验/检查免费次数用完后，则不能再次录入该医嘱。如</w:t>
      </w:r>
      <w:r>
        <w:fldChar w:fldCharType="begin"/>
      </w:r>
      <w:r>
        <w:rPr>
          <w:rFonts w:hint="eastAsia"/>
        </w:rPr>
        <w:instrText xml:space="preserve">REF _Ref2262514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10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2519045"/>
            <wp:effectExtent l="19050" t="0" r="0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19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8" w:name="_Ref226251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10</w:t>
      </w:r>
      <w:r>
        <w:fldChar w:fldCharType="end"/>
      </w:r>
      <w:bookmarkEnd w:id="18"/>
    </w:p>
    <w:p>
      <w:pPr>
        <w:pStyle w:val="13"/>
        <w:ind w:firstLine="480"/>
      </w:pPr>
      <w:r>
        <w:rPr>
          <w:rFonts w:hint="eastAsia"/>
        </w:rPr>
        <w:t>若未勾选“免费次数用尽后限制录入”，维护的检验/检查免费次数用完后，只给出提示，能审核成功。如</w:t>
      </w:r>
      <w:r>
        <w:fldChar w:fldCharType="begin"/>
      </w:r>
      <w:r>
        <w:rPr>
          <w:rFonts w:hint="eastAsia"/>
        </w:rPr>
        <w:instrText xml:space="preserve">REF _Ref2262518 \h</w:instrText>
      </w:r>
      <w:r>
        <w:fldChar w:fldCharType="separate"/>
      </w:r>
      <w:r>
        <w:rPr>
          <w:rFonts w:hint="eastAsia"/>
        </w:rPr>
        <w:t xml:space="preserve">图 </w:t>
      </w:r>
      <w:r>
        <w:t>2</w:t>
      </w:r>
      <w:r>
        <w:noBreakHyphen/>
      </w:r>
      <w:r>
        <w:t>11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557780"/>
            <wp:effectExtent l="1905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58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19" w:name="_Ref2262518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2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11</w:t>
      </w:r>
      <w:r>
        <w:fldChar w:fldCharType="end"/>
      </w:r>
      <w:bookmarkEnd w:id="19"/>
    </w:p>
    <w:p>
      <w:pPr>
        <w:pStyle w:val="55"/>
      </w:pPr>
      <w:r>
        <w:rPr>
          <w:rFonts w:hint="eastAsia"/>
        </w:rPr>
        <w:t>开关关闭:非药理子类的非药品医嘱可无限制录入且全部免费。</w:t>
      </w:r>
    </w:p>
    <w:p>
      <w:pPr>
        <w:pStyle w:val="55"/>
      </w:pPr>
      <w:r>
        <w:rPr>
          <w:rFonts w:hint="eastAsia"/>
        </w:rPr>
        <w:t>药品医嘱走【药理设置-药理子类】设置，即临床药理项目下，只能录入药理子类内的药品医嘱，与此处设置无关。</w:t>
      </w:r>
    </w:p>
    <w:p>
      <w:pPr>
        <w:pStyle w:val="3"/>
        <w:spacing w:before="163" w:after="163"/>
        <w:rPr>
          <w:rFonts w:asciiTheme="minorEastAsia" w:hAnsiTheme="minorEastAsia"/>
          <w:szCs w:val="24"/>
        </w:rPr>
      </w:pPr>
      <w:bookmarkStart w:id="20" w:name="_Toc415348558"/>
      <w:bookmarkStart w:id="21" w:name="_Toc3101977"/>
      <w:r>
        <w:rPr>
          <w:rFonts w:hint="eastAsia"/>
        </w:rPr>
        <w:t>添加项目参与者</w:t>
      </w:r>
      <w:bookmarkEnd w:id="20"/>
      <w:bookmarkEnd w:id="21"/>
    </w:p>
    <w:p>
      <w:pPr>
        <w:spacing w:line="360" w:lineRule="auto"/>
        <w:ind w:firstLine="480" w:firstLineChars="200"/>
      </w:pPr>
      <w:r>
        <w:rPr>
          <w:rFonts w:hint="eastAsia"/>
        </w:rPr>
        <w:t>在临床药理-药理管理-【添加项目参与者】界面维护项目参与者，</w:t>
      </w:r>
      <w:r>
        <w:t>对于一个科研药理项目，有权限的医生才能参与，通过【添加项目参与者】对这样的医生进行维护</w:t>
      </w:r>
      <w:r>
        <w:rPr>
          <w:rFonts w:hint="eastAsia"/>
        </w:rPr>
        <w:t>，如</w:t>
      </w:r>
      <w:r>
        <w:fldChar w:fldCharType="begin"/>
      </w:r>
      <w:r>
        <w:rPr>
          <w:rFonts w:hint="eastAsia"/>
        </w:rPr>
        <w:instrText xml:space="preserve">REF _Ref2262527 \h</w:instrText>
      </w:r>
      <w:r>
        <w:fldChar w:fldCharType="separate"/>
      </w:r>
      <w:r>
        <w:rPr>
          <w:rFonts w:hint="eastAsia"/>
        </w:rPr>
        <w:t xml:space="preserve">图 </w:t>
      </w:r>
      <w:r>
        <w:t>3</w:t>
      </w:r>
      <w:r>
        <w:noBreakHyphen/>
      </w:r>
      <w:r>
        <w:t>1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1353185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53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22" w:name="_Ref2262527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3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</w:t>
      </w:r>
      <w:r>
        <w:fldChar w:fldCharType="end"/>
      </w:r>
      <w:bookmarkEnd w:id="22"/>
    </w:p>
    <w:p>
      <w:pPr>
        <w:spacing w:line="360" w:lineRule="auto"/>
        <w:ind w:firstLine="480" w:firstLineChars="200"/>
        <w:rPr>
          <w:color w:val="FF0000"/>
        </w:rPr>
      </w:pPr>
      <w:r>
        <w:rPr>
          <w:rFonts w:hint="eastAsia"/>
          <w:color w:val="FF0000"/>
        </w:rPr>
        <w:t>说明：对应住院患者，只有下医嘱医生在项目参与者中，录入的医嘱才能成功走记账。</w:t>
      </w:r>
    </w:p>
    <w:p>
      <w:pPr>
        <w:spacing w:line="360" w:lineRule="auto"/>
        <w:ind w:firstLine="480" w:firstLineChars="200"/>
      </w:pPr>
      <w:r>
        <w:rPr>
          <w:rFonts w:hint="eastAsia"/>
        </w:rPr>
        <w:t>余额提醒：设置了余额提醒值后，如果项目的账户余额不足余额提醒值后，在医嘱录入界面会给出相关提示信息，如</w:t>
      </w:r>
      <w:r>
        <w:fldChar w:fldCharType="begin"/>
      </w:r>
      <w:r>
        <w:rPr>
          <w:rFonts w:hint="eastAsia"/>
        </w:rPr>
        <w:instrText xml:space="preserve">REF _Ref2262533 \h</w:instrText>
      </w:r>
      <w:r>
        <w:fldChar w:fldCharType="separate"/>
      </w:r>
      <w:r>
        <w:rPr>
          <w:rFonts w:hint="eastAsia"/>
        </w:rPr>
        <w:t xml:space="preserve">图 </w:t>
      </w:r>
      <w:r>
        <w:t>3</w:t>
      </w:r>
      <w:r>
        <w:noBreakHyphen/>
      </w:r>
      <w:r>
        <w:t>2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246630"/>
            <wp:effectExtent l="1905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47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23" w:name="_Ref2262533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3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2</w:t>
      </w:r>
      <w:r>
        <w:fldChar w:fldCharType="end"/>
      </w:r>
      <w:bookmarkEnd w:id="23"/>
    </w:p>
    <w:p>
      <w:pPr>
        <w:pStyle w:val="3"/>
        <w:spacing w:before="163" w:after="163"/>
      </w:pPr>
      <w:bookmarkStart w:id="24" w:name="_Toc415348559"/>
      <w:bookmarkStart w:id="25" w:name="_Toc3101978"/>
      <w:r>
        <w:rPr>
          <w:rFonts w:hint="eastAsia"/>
        </w:rPr>
        <w:t>病人折扣记账系数维护</w:t>
      </w:r>
      <w:bookmarkEnd w:id="24"/>
      <w:bookmarkEnd w:id="25"/>
    </w:p>
    <w:p>
      <w:pPr>
        <w:ind w:firstLine="420"/>
      </w:pPr>
      <w:r>
        <w:rPr>
          <w:rFonts w:hint="eastAsia"/>
        </w:rPr>
        <w:t>在基础数据平台-产品配置-计费系统管理-计费设置-【病人折扣记账系数维护】中维护就诊类型和收费子类的记账系数（记账系数设置为1，则对应就诊类型下的子类医嘱都走记账），如</w:t>
      </w:r>
      <w:r>
        <w:fldChar w:fldCharType="begin"/>
      </w:r>
      <w:r>
        <w:rPr>
          <w:rFonts w:hint="eastAsia"/>
        </w:rPr>
        <w:instrText xml:space="preserve">REF _Ref2262539 \h</w:instrText>
      </w:r>
      <w:r>
        <w:fldChar w:fldCharType="separate"/>
      </w:r>
      <w:r>
        <w:rPr>
          <w:rFonts w:hint="eastAsia"/>
        </w:rPr>
        <w:t xml:space="preserve">图 </w:t>
      </w:r>
      <w:r>
        <w:t>4</w:t>
      </w:r>
      <w:r>
        <w:noBreakHyphen/>
      </w:r>
      <w:r>
        <w:t>1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542540"/>
            <wp:effectExtent l="19050" t="0" r="0" b="0"/>
            <wp:docPr id="1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2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26" w:name="_Ref2262539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4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</w:t>
      </w:r>
      <w:r>
        <w:fldChar w:fldCharType="end"/>
      </w:r>
      <w:bookmarkEnd w:id="26"/>
    </w:p>
    <w:p>
      <w:pPr>
        <w:pStyle w:val="3"/>
        <w:spacing w:before="163" w:after="163"/>
      </w:pPr>
      <w:bookmarkStart w:id="27" w:name="_Toc3101979"/>
      <w:r>
        <w:rPr>
          <w:rFonts w:hint="eastAsia"/>
        </w:rPr>
        <w:t>药理管理</w:t>
      </w:r>
      <w:bookmarkEnd w:id="27"/>
    </w:p>
    <w:p>
      <w:pPr>
        <w:pStyle w:val="4"/>
        <w:spacing w:before="163" w:after="163"/>
      </w:pPr>
      <w:bookmarkStart w:id="28" w:name="_Toc415348560"/>
      <w:bookmarkStart w:id="29" w:name="_Toc3101980"/>
      <w:r>
        <w:rPr>
          <w:rFonts w:hint="eastAsia"/>
        </w:rPr>
        <w:t>加入科研项目</w:t>
      </w:r>
      <w:bookmarkEnd w:id="28"/>
      <w:bookmarkEnd w:id="29"/>
    </w:p>
    <w:p>
      <w:pPr>
        <w:spacing w:line="360" w:lineRule="auto"/>
        <w:ind w:firstLine="480" w:firstLineChars="200"/>
      </w:pPr>
      <w:r>
        <w:rPr>
          <w:rFonts w:hint="eastAsia"/>
        </w:rPr>
        <w:t>在【病人列表】选择患者点击【临床药理】-【加入科研项目】，选择项目，维护签署知情同意书日期、备注和筛选号等点击【保存】，将患者加入临床药理项目，如</w:t>
      </w:r>
      <w:r>
        <w:fldChar w:fldCharType="begin"/>
      </w:r>
      <w:r>
        <w:rPr>
          <w:rFonts w:hint="eastAsia"/>
        </w:rPr>
        <w:instrText xml:space="preserve">REF _Ref2262547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1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1638935"/>
            <wp:effectExtent l="1905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639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0" w:name="_Ref2262547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</w:t>
      </w:r>
      <w:r>
        <w:fldChar w:fldCharType="end"/>
      </w:r>
      <w:bookmarkEnd w:id="30"/>
    </w:p>
    <w:p>
      <w:pPr>
        <w:pStyle w:val="13"/>
        <w:ind w:firstLine="480"/>
      </w:pPr>
      <w:r>
        <w:rPr>
          <w:rFonts w:hint="eastAsia"/>
        </w:rPr>
        <w:t>签署知情同意书日期：不能晚于当前日期。</w:t>
      </w:r>
    </w:p>
    <w:p>
      <w:pPr>
        <w:pStyle w:val="13"/>
        <w:ind w:firstLine="480"/>
      </w:pPr>
      <w:r>
        <w:rPr>
          <w:rFonts w:hint="eastAsia"/>
        </w:rPr>
        <w:t>筛选号：用于【临床受试者列表】导出检验结果。</w:t>
      </w:r>
    </w:p>
    <w:p>
      <w:pPr>
        <w:pStyle w:val="4"/>
        <w:spacing w:before="163" w:after="163"/>
      </w:pPr>
      <w:bookmarkStart w:id="31" w:name="_Toc3101981"/>
      <w:r>
        <w:rPr>
          <w:rFonts w:hint="eastAsia"/>
        </w:rPr>
        <w:t>临床受试者列表</w:t>
      </w:r>
      <w:bookmarkEnd w:id="31"/>
    </w:p>
    <w:p>
      <w:pPr>
        <w:pStyle w:val="13"/>
        <w:ind w:firstLine="480"/>
      </w:pPr>
      <w:r>
        <w:rPr>
          <w:rFonts w:hint="eastAsia"/>
        </w:rPr>
        <w:t>加入到科研项目中的患者显示在【临床受试者列表】中，界面查询的是医生所在科研项目的临床药理患者，如</w:t>
      </w:r>
      <w:r>
        <w:fldChar w:fldCharType="begin"/>
      </w:r>
      <w:r>
        <w:rPr>
          <w:rFonts w:hint="eastAsia"/>
        </w:rPr>
        <w:instrText xml:space="preserve">REF _Ref2262554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2</w:t>
      </w:r>
      <w:r>
        <w:fldChar w:fldCharType="end"/>
      </w:r>
      <w:r>
        <w:rPr>
          <w:rFonts w:hint="eastAsia"/>
        </w:rPr>
        <w:t>，只统计状态为“在组”和“退出”的记录，完成和取消的记录不显示。</w:t>
      </w:r>
    </w:p>
    <w:p>
      <w:pPr>
        <w:pStyle w:val="52"/>
      </w:pPr>
      <w:r>
        <w:drawing>
          <wp:inline distT="0" distB="0" distL="0" distR="0">
            <wp:extent cx="5759450" cy="1962785"/>
            <wp:effectExtent l="19050" t="0" r="0" b="0"/>
            <wp:docPr id="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63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2" w:name="_Ref226255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2</w:t>
      </w:r>
      <w:r>
        <w:fldChar w:fldCharType="end"/>
      </w:r>
      <w:bookmarkEnd w:id="32"/>
    </w:p>
    <w:p>
      <w:pPr>
        <w:pStyle w:val="13"/>
        <w:ind w:firstLine="480"/>
      </w:pPr>
      <w:r>
        <w:rPr>
          <w:rFonts w:hint="eastAsia"/>
        </w:rPr>
        <w:t>若科室是【药理设置】处的超级科室，则可以查询出所有临床药理患者，如</w:t>
      </w:r>
      <w:r>
        <w:fldChar w:fldCharType="begin"/>
      </w:r>
      <w:r>
        <w:rPr>
          <w:rFonts w:hint="eastAsia"/>
        </w:rPr>
        <w:instrText xml:space="preserve">REF _Ref2262560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3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rPr>
          <w:rFonts w:hint="eastAsia"/>
        </w:rPr>
        <w:drawing>
          <wp:inline distT="0" distB="0" distL="0" distR="0">
            <wp:extent cx="5759450" cy="1455420"/>
            <wp:effectExtent l="1905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b="11161"/>
                    <a:stretch>
                      <a:fillRect/>
                    </a:stretch>
                  </pic:blipFill>
                  <pic:spPr>
                    <a:xfrm>
                      <a:off x="0" y="0"/>
                      <a:ext cx="5759958" cy="145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3" w:name="_Ref2262560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3</w:t>
      </w:r>
      <w:r>
        <w:fldChar w:fldCharType="end"/>
      </w:r>
      <w:bookmarkEnd w:id="33"/>
    </w:p>
    <w:p>
      <w:pPr>
        <w:pStyle w:val="13"/>
        <w:ind w:firstLine="480"/>
      </w:pPr>
      <w:r>
        <w:rPr>
          <w:rFonts w:hint="eastAsia"/>
        </w:rPr>
        <w:t>取消：将患者在科研列表中移除，移除情况有完成、取消和退出，如</w:t>
      </w:r>
      <w:r>
        <w:fldChar w:fldCharType="begin"/>
      </w:r>
      <w:r>
        <w:rPr>
          <w:rFonts w:hint="eastAsia"/>
        </w:rPr>
        <w:instrText xml:space="preserve">REF _Ref2262564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4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508885"/>
            <wp:effectExtent l="19050" t="0" r="0" b="0"/>
            <wp:docPr id="1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09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4" w:name="_Ref226256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4</w:t>
      </w:r>
      <w:r>
        <w:fldChar w:fldCharType="end"/>
      </w:r>
      <w:bookmarkEnd w:id="34"/>
    </w:p>
    <w:p>
      <w:pPr>
        <w:pStyle w:val="13"/>
        <w:ind w:firstLine="480"/>
      </w:pPr>
      <w:r>
        <w:rPr>
          <w:rFonts w:hint="eastAsia"/>
        </w:rPr>
        <w:t>导出项目检验结果：导出患者的检验结果，如</w:t>
      </w:r>
      <w:r>
        <w:fldChar w:fldCharType="begin"/>
      </w:r>
      <w:r>
        <w:rPr>
          <w:rFonts w:hint="eastAsia"/>
        </w:rPr>
        <w:instrText xml:space="preserve">REF _Ref2262568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5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361565"/>
            <wp:effectExtent l="19050" t="0" r="0" b="0"/>
            <wp:docPr id="1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62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5" w:name="_Ref2262568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5</w:t>
      </w:r>
      <w:r>
        <w:fldChar w:fldCharType="end"/>
      </w:r>
      <w:bookmarkEnd w:id="35"/>
    </w:p>
    <w:p>
      <w:pPr>
        <w:pStyle w:val="4"/>
        <w:spacing w:before="163" w:after="163"/>
      </w:pPr>
      <w:bookmarkStart w:id="36" w:name="_Toc3101982"/>
      <w:r>
        <w:rPr>
          <w:rFonts w:hint="eastAsia"/>
        </w:rPr>
        <w:t>临床药理医嘱录入</w:t>
      </w:r>
      <w:bookmarkEnd w:id="36"/>
    </w:p>
    <w:p>
      <w:pPr>
        <w:ind w:firstLine="420"/>
      </w:pPr>
      <w:r>
        <w:rPr>
          <w:rFonts w:hint="eastAsia"/>
        </w:rPr>
        <w:t>要走临床药理管理，需在【临床受试者列表】选择患者进入【医嘱录入】界面录入医嘱，审核后的医嘱费别取【药理设置】维护的费别，且显示所在科研项目，如</w:t>
      </w:r>
      <w:r>
        <w:fldChar w:fldCharType="begin"/>
      </w:r>
      <w:r>
        <w:rPr>
          <w:rFonts w:hint="eastAsia"/>
        </w:rPr>
        <w:instrText xml:space="preserve">REF _Ref2262574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6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424430"/>
            <wp:effectExtent l="19050" t="0" r="0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24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7" w:name="_Ref226257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6</w:t>
      </w:r>
      <w:r>
        <w:fldChar w:fldCharType="end"/>
      </w:r>
      <w:bookmarkEnd w:id="37"/>
    </w:p>
    <w:p>
      <w:pPr>
        <w:spacing w:line="360" w:lineRule="auto"/>
        <w:ind w:firstLine="480" w:firstLineChars="200"/>
        <w:rPr>
          <w:color w:val="FF0000"/>
        </w:rPr>
      </w:pPr>
      <w:r>
        <w:rPr>
          <w:rFonts w:hint="eastAsia"/>
        </w:rPr>
        <w:t>说明：</w:t>
      </w:r>
      <w:r>
        <w:rPr>
          <w:rFonts w:hint="eastAsia"/>
          <w:color w:val="FF0000"/>
        </w:rPr>
        <w:t>如果患者要自费或走其他费别，那就要通过【病人列表】选中患者进入【诊疗】界面下医嘱。</w:t>
      </w:r>
    </w:p>
    <w:p>
      <w:pPr>
        <w:pStyle w:val="4"/>
        <w:spacing w:before="163" w:after="163"/>
      </w:pPr>
      <w:bookmarkStart w:id="38" w:name="_Toc3101983"/>
      <w:r>
        <w:rPr>
          <w:rFonts w:hint="eastAsia"/>
        </w:rPr>
        <w:t>查询所属科研项目</w:t>
      </w:r>
      <w:bookmarkEnd w:id="38"/>
    </w:p>
    <w:p>
      <w:pPr>
        <w:pStyle w:val="13"/>
        <w:ind w:firstLine="480"/>
      </w:pPr>
      <w:r>
        <w:rPr>
          <w:rFonts w:hint="eastAsia"/>
        </w:rPr>
        <w:t>查询登录医生所属的科研项目，可查看主要研究者、入账总额、账户余额等。如</w:t>
      </w:r>
      <w:r>
        <w:fldChar w:fldCharType="begin"/>
      </w:r>
      <w:r>
        <w:rPr>
          <w:rFonts w:hint="eastAsia"/>
        </w:rPr>
        <w:instrText xml:space="preserve">REF _Ref2262584 \h</w:instrText>
      </w:r>
      <w:r>
        <w:fldChar w:fldCharType="separate"/>
      </w:r>
      <w:r>
        <w:rPr>
          <w:rFonts w:hint="eastAsia"/>
        </w:rPr>
        <w:t xml:space="preserve">图 </w:t>
      </w:r>
      <w:r>
        <w:t>5</w:t>
      </w:r>
      <w:r>
        <w:noBreakHyphen/>
      </w:r>
      <w:r>
        <w:t>7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142113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421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39" w:name="_Ref2262584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5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7</w:t>
      </w:r>
      <w:r>
        <w:fldChar w:fldCharType="end"/>
      </w:r>
      <w:bookmarkEnd w:id="39"/>
    </w:p>
    <w:p>
      <w:pPr>
        <w:pStyle w:val="3"/>
        <w:spacing w:before="163" w:after="163"/>
      </w:pPr>
      <w:bookmarkStart w:id="40" w:name="_Toc415348562"/>
      <w:bookmarkStart w:id="41" w:name="_Toc3101984"/>
      <w:r>
        <w:rPr>
          <w:rFonts w:hint="eastAsia"/>
        </w:rPr>
        <w:t>交费</w:t>
      </w:r>
      <w:bookmarkEnd w:id="40"/>
      <w:bookmarkEnd w:id="41"/>
    </w:p>
    <w:p>
      <w:pPr>
        <w:spacing w:line="360" w:lineRule="auto"/>
        <w:ind w:firstLine="480" w:firstLineChars="200"/>
      </w:pPr>
      <w:r>
        <w:rPr>
          <w:rFonts w:hint="eastAsia"/>
        </w:rPr>
        <w:t>进入门诊收费界面，为患者交费，按设定的折扣记账系数给予优惠，例如设置成记账，那么收费处会走记账，如</w:t>
      </w:r>
      <w:r>
        <w:fldChar w:fldCharType="begin"/>
      </w:r>
      <w:r>
        <w:rPr>
          <w:rFonts w:hint="eastAsia"/>
        </w:rPr>
        <w:instrText xml:space="preserve">REF _Ref2262589 \h</w:instrText>
      </w:r>
      <w:r>
        <w:fldChar w:fldCharType="separate"/>
      </w:r>
      <w:r>
        <w:rPr>
          <w:rFonts w:hint="eastAsia"/>
        </w:rPr>
        <w:t xml:space="preserve">图 </w:t>
      </w:r>
      <w:r>
        <w:t>6</w:t>
      </w:r>
      <w:r>
        <w:noBreakHyphen/>
      </w:r>
      <w:r>
        <w:t>1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560320"/>
            <wp:effectExtent l="19050" t="0" r="0" b="0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60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42" w:name="_Ref2262589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6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1</w:t>
      </w:r>
      <w:r>
        <w:fldChar w:fldCharType="end"/>
      </w:r>
      <w:bookmarkEnd w:id="42"/>
    </w:p>
    <w:p>
      <w:pPr>
        <w:pStyle w:val="13"/>
        <w:ind w:firstLine="480"/>
      </w:pPr>
      <w:r>
        <w:rPr>
          <w:rFonts w:hint="eastAsia"/>
        </w:rPr>
        <w:t>记账的金额会在项目对应的汇款记录中减去，可在【查询所属科研项目】中查看，如</w:t>
      </w:r>
      <w:r>
        <w:fldChar w:fldCharType="begin"/>
      </w:r>
      <w:r>
        <w:rPr>
          <w:rFonts w:hint="eastAsia"/>
        </w:rPr>
        <w:instrText xml:space="preserve">REF _Ref2262599 \h</w:instrText>
      </w:r>
      <w:r>
        <w:fldChar w:fldCharType="separate"/>
      </w:r>
      <w:r>
        <w:rPr>
          <w:rFonts w:hint="eastAsia"/>
        </w:rPr>
        <w:t xml:space="preserve">图 </w:t>
      </w:r>
      <w:r>
        <w:t>6</w:t>
      </w:r>
      <w:r>
        <w:noBreakHyphen/>
      </w:r>
      <w:r>
        <w:t>2</w:t>
      </w:r>
      <w:r>
        <w:fldChar w:fldCharType="end"/>
      </w:r>
      <w:r>
        <w:rPr>
          <w:rFonts w:hint="eastAsia"/>
        </w:rPr>
        <w:t>。</w:t>
      </w:r>
    </w:p>
    <w:p>
      <w:pPr>
        <w:pStyle w:val="52"/>
      </w:pPr>
      <w:r>
        <w:drawing>
          <wp:inline distT="0" distB="0" distL="0" distR="0">
            <wp:extent cx="5759450" cy="2167255"/>
            <wp:effectExtent l="19050" t="0" r="0" b="0"/>
            <wp:docPr id="1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67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</w:pPr>
      <w:bookmarkStart w:id="43" w:name="_Ref2262599"/>
      <w:r>
        <w:rPr>
          <w:rFonts w:hint="eastAsia"/>
        </w:rPr>
        <w:t xml:space="preserve">图 </w:t>
      </w:r>
      <w:r>
        <w:fldChar w:fldCharType="begin"/>
      </w:r>
      <w:r>
        <w:instrText xml:space="preserve"> STYLEREF 1 \s </w:instrText>
      </w:r>
      <w:r>
        <w:fldChar w:fldCharType="separate"/>
      </w:r>
      <w:r>
        <w:t>6</w:t>
      </w:r>
      <w:r>
        <w:fldChar w:fldCharType="end"/>
      </w:r>
      <w:r>
        <w:noBreakHyphen/>
      </w:r>
      <w:r>
        <w:fldChar w:fldCharType="begin"/>
      </w:r>
      <w:r>
        <w:instrText xml:space="preserve"> SEQ 图 \* ARABIC \s 1 </w:instrText>
      </w:r>
      <w:r>
        <w:fldChar w:fldCharType="separate"/>
      </w:r>
      <w:r>
        <w:t>2</w:t>
      </w:r>
      <w:r>
        <w:fldChar w:fldCharType="end"/>
      </w:r>
      <w:bookmarkEnd w:id="43"/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418" w:bottom="1440" w:left="1418" w:header="907" w:footer="680" w:gutter="0"/>
      <w:cols w:space="425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spacing w:after="120"/>
      <w:jc w:val="center"/>
    </w:pPr>
    <w:r>
      <w:rPr>
        <w:rFonts w:hint="eastAsia" w:ascii="楷体_GB2312" w:eastAsia="楷体_GB2312"/>
      </w:rPr>
      <w:t>第</w:t>
    </w:r>
    <w:r>
      <w:rPr>
        <w:rFonts w:hint="eastAsia" w:ascii="楷体_GB2312" w:eastAsia="楷体_GB2312"/>
      </w:rPr>
      <w:fldChar w:fldCharType="begin"/>
    </w:r>
    <w:r>
      <w:rPr>
        <w:rFonts w:hint="eastAsia" w:ascii="楷体_GB2312" w:eastAsia="楷体_GB2312"/>
      </w:rPr>
      <w:instrText xml:space="preserve"> PAGE </w:instrText>
    </w:r>
    <w:r>
      <w:rPr>
        <w:rFonts w:hint="eastAsia" w:ascii="楷体_GB2312" w:eastAsia="楷体_GB2312"/>
      </w:rPr>
      <w:fldChar w:fldCharType="separate"/>
    </w:r>
    <w:r>
      <w:rPr>
        <w:rFonts w:ascii="楷体_GB2312" w:eastAsia="楷体_GB2312"/>
      </w:rPr>
      <w:t>4</w:t>
    </w:r>
    <w:r>
      <w:rPr>
        <w:rFonts w:hint="eastAsia" w:ascii="楷体_GB2312" w:eastAsia="楷体_GB2312"/>
      </w:rPr>
      <w:fldChar w:fldCharType="end"/>
    </w:r>
    <w:r>
      <w:rPr>
        <w:rFonts w:hint="eastAsia" w:ascii="楷体_GB2312" w:eastAsia="楷体_GB2312"/>
      </w:rPr>
      <w:t>页共</w:t>
    </w:r>
    <w:r>
      <w:rPr>
        <w:rFonts w:hint="eastAsia" w:ascii="楷体_GB2312" w:eastAsia="楷体_GB2312"/>
      </w:rPr>
      <w:fldChar w:fldCharType="begin"/>
    </w:r>
    <w:r>
      <w:rPr>
        <w:rFonts w:hint="eastAsia" w:ascii="楷体_GB2312" w:eastAsia="楷体_GB2312"/>
      </w:rPr>
      <w:instrText xml:space="preserve"> NUMPAGES </w:instrText>
    </w:r>
    <w:r>
      <w:rPr>
        <w:rFonts w:hint="eastAsia" w:ascii="楷体_GB2312" w:eastAsia="楷体_GB2312"/>
      </w:rPr>
      <w:fldChar w:fldCharType="separate"/>
    </w:r>
    <w:r>
      <w:rPr>
        <w:rFonts w:ascii="楷体_GB2312" w:eastAsia="楷体_GB2312"/>
      </w:rPr>
      <w:t>15</w:t>
    </w:r>
    <w:r>
      <w:rPr>
        <w:rFonts w:hint="eastAsia" w:ascii="楷体_GB2312" w:eastAsia="楷体_GB2312"/>
      </w:rPr>
      <w:fldChar w:fldCharType="end"/>
    </w:r>
    <w:r>
      <w:rPr>
        <w:rFonts w:hint="eastAsia" w:ascii="楷体_GB2312" w:eastAsia="楷体_GB2312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spacing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spacing w:after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spacing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spacing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10800"/>
    <w:multiLevelType w:val="multilevel"/>
    <w:tmpl w:val="17710800"/>
    <w:lvl w:ilvl="0" w:tentative="0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195CD5"/>
    <w:multiLevelType w:val="multilevel"/>
    <w:tmpl w:val="47195CD5"/>
    <w:lvl w:ilvl="0" w:tentative="0">
      <w:start w:val="1"/>
      <w:numFmt w:val="decimal"/>
      <w:pStyle w:val="3"/>
      <w:lvlText w:val="%1"/>
      <w:lvlJc w:val="left"/>
      <w:pPr>
        <w:ind w:left="454" w:hanging="454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ind w:left="567" w:hanging="567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5"/>
      <w:lvlText w:val="%1.%2.%3"/>
      <w:lvlJc w:val="left"/>
      <w:pPr>
        <w:ind w:left="737" w:hanging="737"/>
      </w:pPr>
      <w:rPr>
        <w:rFonts w:hint="eastAsia"/>
      </w:rPr>
    </w:lvl>
    <w:lvl w:ilvl="3" w:tentative="0">
      <w:start w:val="1"/>
      <w:numFmt w:val="decimal"/>
      <w:pStyle w:val="6"/>
      <w:lvlText w:val="%1.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54"/>
      <w:lvlText w:val="%5)"/>
      <w:lvlJc w:val="left"/>
      <w:pPr>
        <w:ind w:left="454" w:hanging="454"/>
      </w:pPr>
      <w:rPr>
        <w:rFonts w:hint="eastAsia"/>
        <w:b w:val="0"/>
      </w:rPr>
    </w:lvl>
    <w:lvl w:ilvl="5" w:tentative="0">
      <w:start w:val="1"/>
      <w:numFmt w:val="decimal"/>
      <w:pStyle w:val="55"/>
      <w:lvlText w:val="(%6)"/>
      <w:lvlJc w:val="left"/>
      <w:pPr>
        <w:ind w:left="907" w:hanging="453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6" w:tentative="0">
      <w:start w:val="1"/>
      <w:numFmt w:val="bullet"/>
      <w:pStyle w:val="56"/>
      <w:lvlText w:val=""/>
      <w:lvlJc w:val="left"/>
      <w:pPr>
        <w:ind w:left="907" w:firstLine="0"/>
      </w:pPr>
      <w:rPr>
        <w:rFonts w:hint="default" w:ascii="Wingdings" w:hAnsi="Wingdings"/>
      </w:rPr>
    </w:lvl>
    <w:lvl w:ilvl="7" w:tentative="0">
      <w:start w:val="1"/>
      <w:numFmt w:val="bullet"/>
      <w:pStyle w:val="57"/>
      <w:lvlText w:val=""/>
      <w:lvlJc w:val="left"/>
      <w:pPr>
        <w:ind w:left="1588" w:firstLine="0"/>
      </w:pPr>
      <w:rPr>
        <w:rFonts w:hint="default" w:ascii="Wingdings" w:hAnsi="Wingdings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7D3A72BC"/>
    <w:multiLevelType w:val="multilevel"/>
    <w:tmpl w:val="7D3A72B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3C5"/>
    <w:rsid w:val="00015069"/>
    <w:rsid w:val="00017DFD"/>
    <w:rsid w:val="00026741"/>
    <w:rsid w:val="000331EF"/>
    <w:rsid w:val="00033284"/>
    <w:rsid w:val="00033790"/>
    <w:rsid w:val="00065EEE"/>
    <w:rsid w:val="00095088"/>
    <w:rsid w:val="00097079"/>
    <w:rsid w:val="000A611B"/>
    <w:rsid w:val="000A6879"/>
    <w:rsid w:val="000C266F"/>
    <w:rsid w:val="000C6677"/>
    <w:rsid w:val="000F0D56"/>
    <w:rsid w:val="00100D8F"/>
    <w:rsid w:val="00115614"/>
    <w:rsid w:val="00125891"/>
    <w:rsid w:val="00125AFF"/>
    <w:rsid w:val="00143BAF"/>
    <w:rsid w:val="00144AF0"/>
    <w:rsid w:val="00146E19"/>
    <w:rsid w:val="001548FD"/>
    <w:rsid w:val="001616FF"/>
    <w:rsid w:val="00181BB1"/>
    <w:rsid w:val="00192A87"/>
    <w:rsid w:val="00192C56"/>
    <w:rsid w:val="001A0229"/>
    <w:rsid w:val="001B148A"/>
    <w:rsid w:val="001C0EC2"/>
    <w:rsid w:val="001C662C"/>
    <w:rsid w:val="001D2D0A"/>
    <w:rsid w:val="001D7F52"/>
    <w:rsid w:val="001F109C"/>
    <w:rsid w:val="001F7EFE"/>
    <w:rsid w:val="00224426"/>
    <w:rsid w:val="00224D26"/>
    <w:rsid w:val="002266D9"/>
    <w:rsid w:val="002310F8"/>
    <w:rsid w:val="0023128E"/>
    <w:rsid w:val="00240FC6"/>
    <w:rsid w:val="0024570A"/>
    <w:rsid w:val="002477B3"/>
    <w:rsid w:val="00257E8F"/>
    <w:rsid w:val="00266863"/>
    <w:rsid w:val="002750CF"/>
    <w:rsid w:val="0029609F"/>
    <w:rsid w:val="002B447D"/>
    <w:rsid w:val="002C04EE"/>
    <w:rsid w:val="002C3091"/>
    <w:rsid w:val="002D7AD6"/>
    <w:rsid w:val="002E22C9"/>
    <w:rsid w:val="002F5F28"/>
    <w:rsid w:val="00315A4C"/>
    <w:rsid w:val="00340AD2"/>
    <w:rsid w:val="00342584"/>
    <w:rsid w:val="00361E1B"/>
    <w:rsid w:val="00376A85"/>
    <w:rsid w:val="00376E5E"/>
    <w:rsid w:val="00383BCA"/>
    <w:rsid w:val="00390553"/>
    <w:rsid w:val="003A5A61"/>
    <w:rsid w:val="003B1169"/>
    <w:rsid w:val="003D6D8E"/>
    <w:rsid w:val="003F11F8"/>
    <w:rsid w:val="004017DB"/>
    <w:rsid w:val="00405085"/>
    <w:rsid w:val="0040589F"/>
    <w:rsid w:val="00410AB4"/>
    <w:rsid w:val="00413871"/>
    <w:rsid w:val="00425911"/>
    <w:rsid w:val="00430CB1"/>
    <w:rsid w:val="00441FB2"/>
    <w:rsid w:val="004457EA"/>
    <w:rsid w:val="004548FC"/>
    <w:rsid w:val="00485AA1"/>
    <w:rsid w:val="00493AAA"/>
    <w:rsid w:val="004965A7"/>
    <w:rsid w:val="004A0EB5"/>
    <w:rsid w:val="004A72D1"/>
    <w:rsid w:val="004B7F6B"/>
    <w:rsid w:val="004D281C"/>
    <w:rsid w:val="004F33C5"/>
    <w:rsid w:val="00501BC9"/>
    <w:rsid w:val="0051611C"/>
    <w:rsid w:val="005261E6"/>
    <w:rsid w:val="00533A7D"/>
    <w:rsid w:val="00537728"/>
    <w:rsid w:val="005407AF"/>
    <w:rsid w:val="005473FF"/>
    <w:rsid w:val="00560791"/>
    <w:rsid w:val="00567836"/>
    <w:rsid w:val="00584C95"/>
    <w:rsid w:val="00586D36"/>
    <w:rsid w:val="00590E78"/>
    <w:rsid w:val="005A32A3"/>
    <w:rsid w:val="005B17E8"/>
    <w:rsid w:val="005B61D4"/>
    <w:rsid w:val="005B6FC5"/>
    <w:rsid w:val="005B7F1F"/>
    <w:rsid w:val="005C30ED"/>
    <w:rsid w:val="005C4626"/>
    <w:rsid w:val="005E56B2"/>
    <w:rsid w:val="005F3683"/>
    <w:rsid w:val="005F527A"/>
    <w:rsid w:val="0060187D"/>
    <w:rsid w:val="0061668B"/>
    <w:rsid w:val="006170A0"/>
    <w:rsid w:val="00641B87"/>
    <w:rsid w:val="00642BE5"/>
    <w:rsid w:val="00655D21"/>
    <w:rsid w:val="006574E9"/>
    <w:rsid w:val="0067335E"/>
    <w:rsid w:val="00674907"/>
    <w:rsid w:val="00680421"/>
    <w:rsid w:val="00680F05"/>
    <w:rsid w:val="00684E5C"/>
    <w:rsid w:val="00694046"/>
    <w:rsid w:val="00697DA5"/>
    <w:rsid w:val="006A055B"/>
    <w:rsid w:val="006A67EA"/>
    <w:rsid w:val="006B38EA"/>
    <w:rsid w:val="006B43D1"/>
    <w:rsid w:val="006B441B"/>
    <w:rsid w:val="006B59A0"/>
    <w:rsid w:val="006B5AAA"/>
    <w:rsid w:val="006B7149"/>
    <w:rsid w:val="006D6445"/>
    <w:rsid w:val="006D7C5E"/>
    <w:rsid w:val="00701214"/>
    <w:rsid w:val="00717177"/>
    <w:rsid w:val="00735EB2"/>
    <w:rsid w:val="0079143B"/>
    <w:rsid w:val="00796F42"/>
    <w:rsid w:val="007A1169"/>
    <w:rsid w:val="007B6160"/>
    <w:rsid w:val="007D230E"/>
    <w:rsid w:val="00811401"/>
    <w:rsid w:val="00823F7C"/>
    <w:rsid w:val="00826D7A"/>
    <w:rsid w:val="00827F0A"/>
    <w:rsid w:val="008621B3"/>
    <w:rsid w:val="00866146"/>
    <w:rsid w:val="00873F87"/>
    <w:rsid w:val="00874510"/>
    <w:rsid w:val="00875DFF"/>
    <w:rsid w:val="00880A2B"/>
    <w:rsid w:val="00890E04"/>
    <w:rsid w:val="00894E3D"/>
    <w:rsid w:val="008A076C"/>
    <w:rsid w:val="008A0C9A"/>
    <w:rsid w:val="008A7599"/>
    <w:rsid w:val="008A7B57"/>
    <w:rsid w:val="008B6D4F"/>
    <w:rsid w:val="008E0AA6"/>
    <w:rsid w:val="008E2522"/>
    <w:rsid w:val="008E564D"/>
    <w:rsid w:val="009112D6"/>
    <w:rsid w:val="00916205"/>
    <w:rsid w:val="00946112"/>
    <w:rsid w:val="00961E35"/>
    <w:rsid w:val="00973258"/>
    <w:rsid w:val="009941F0"/>
    <w:rsid w:val="009A4B7A"/>
    <w:rsid w:val="009B2062"/>
    <w:rsid w:val="009B30CD"/>
    <w:rsid w:val="009B7A18"/>
    <w:rsid w:val="009C76B1"/>
    <w:rsid w:val="009D3513"/>
    <w:rsid w:val="009D3566"/>
    <w:rsid w:val="009D4343"/>
    <w:rsid w:val="009E0A89"/>
    <w:rsid w:val="00A13733"/>
    <w:rsid w:val="00A1568C"/>
    <w:rsid w:val="00A44259"/>
    <w:rsid w:val="00A54D87"/>
    <w:rsid w:val="00A64281"/>
    <w:rsid w:val="00AA40BD"/>
    <w:rsid w:val="00AA7B38"/>
    <w:rsid w:val="00AB0E97"/>
    <w:rsid w:val="00AB6734"/>
    <w:rsid w:val="00AD524B"/>
    <w:rsid w:val="00AE445E"/>
    <w:rsid w:val="00AF6988"/>
    <w:rsid w:val="00B235DC"/>
    <w:rsid w:val="00B3312D"/>
    <w:rsid w:val="00B33175"/>
    <w:rsid w:val="00B35208"/>
    <w:rsid w:val="00B439EE"/>
    <w:rsid w:val="00B45A37"/>
    <w:rsid w:val="00B5520F"/>
    <w:rsid w:val="00B55CE4"/>
    <w:rsid w:val="00B72DD9"/>
    <w:rsid w:val="00B80301"/>
    <w:rsid w:val="00B91B4C"/>
    <w:rsid w:val="00B93942"/>
    <w:rsid w:val="00B9477F"/>
    <w:rsid w:val="00BC57C3"/>
    <w:rsid w:val="00BC6E85"/>
    <w:rsid w:val="00BD1591"/>
    <w:rsid w:val="00BF2794"/>
    <w:rsid w:val="00BF373C"/>
    <w:rsid w:val="00BF4D6C"/>
    <w:rsid w:val="00C05324"/>
    <w:rsid w:val="00C2508E"/>
    <w:rsid w:val="00C41785"/>
    <w:rsid w:val="00C5019B"/>
    <w:rsid w:val="00C56F9F"/>
    <w:rsid w:val="00C66E4C"/>
    <w:rsid w:val="00C67E66"/>
    <w:rsid w:val="00C77603"/>
    <w:rsid w:val="00C87A45"/>
    <w:rsid w:val="00C95E95"/>
    <w:rsid w:val="00CB4529"/>
    <w:rsid w:val="00CC1011"/>
    <w:rsid w:val="00CC614D"/>
    <w:rsid w:val="00CD1990"/>
    <w:rsid w:val="00CD1F39"/>
    <w:rsid w:val="00CE573E"/>
    <w:rsid w:val="00CF59A8"/>
    <w:rsid w:val="00D162E5"/>
    <w:rsid w:val="00D21EE6"/>
    <w:rsid w:val="00D3082D"/>
    <w:rsid w:val="00D310A4"/>
    <w:rsid w:val="00D31329"/>
    <w:rsid w:val="00D33446"/>
    <w:rsid w:val="00D37838"/>
    <w:rsid w:val="00D41F53"/>
    <w:rsid w:val="00D6087A"/>
    <w:rsid w:val="00D70B45"/>
    <w:rsid w:val="00D756BD"/>
    <w:rsid w:val="00D804BA"/>
    <w:rsid w:val="00D86FF9"/>
    <w:rsid w:val="00D90BCE"/>
    <w:rsid w:val="00D957FE"/>
    <w:rsid w:val="00DC1298"/>
    <w:rsid w:val="00DD1BA4"/>
    <w:rsid w:val="00DD1ED3"/>
    <w:rsid w:val="00DF39E4"/>
    <w:rsid w:val="00DF526A"/>
    <w:rsid w:val="00E21004"/>
    <w:rsid w:val="00E22892"/>
    <w:rsid w:val="00E26C91"/>
    <w:rsid w:val="00E4101E"/>
    <w:rsid w:val="00E41B81"/>
    <w:rsid w:val="00E514B2"/>
    <w:rsid w:val="00E80B23"/>
    <w:rsid w:val="00E92837"/>
    <w:rsid w:val="00E9469E"/>
    <w:rsid w:val="00EC0E7C"/>
    <w:rsid w:val="00EC128C"/>
    <w:rsid w:val="00ED5CD2"/>
    <w:rsid w:val="00EE4E20"/>
    <w:rsid w:val="00EF1C62"/>
    <w:rsid w:val="00EF6D72"/>
    <w:rsid w:val="00F1143C"/>
    <w:rsid w:val="00F5016A"/>
    <w:rsid w:val="00F56F98"/>
    <w:rsid w:val="00F5752A"/>
    <w:rsid w:val="00F61C3B"/>
    <w:rsid w:val="00F9434F"/>
    <w:rsid w:val="00FA24EA"/>
    <w:rsid w:val="00FA35C3"/>
    <w:rsid w:val="00FB2CB5"/>
    <w:rsid w:val="00FC2958"/>
    <w:rsid w:val="00FC54D8"/>
    <w:rsid w:val="00FD4E6F"/>
    <w:rsid w:val="00FF1487"/>
    <w:rsid w:val="00FF7266"/>
    <w:rsid w:val="4246492F"/>
    <w:rsid w:val="7ADF2EA7"/>
    <w:rsid w:val="7E0D33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semiHidden="0" w:name="toc 3"/>
    <w:lsdException w:qFormat="1" w:uiPriority="39" w:semiHidden="0" w:name="toc 4"/>
    <w:lsdException w:uiPriority="39" w:semiHidden="0" w:name="toc 5"/>
    <w:lsdException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beforeAutospacing="1" w:after="100" w:afterAutospacing="1" w:line="300" w:lineRule="auto"/>
    </w:pPr>
    <w:rPr>
      <w:rFonts w:ascii="Calibri" w:hAnsi="Calibri" w:eastAsia="宋体" w:cstheme="minorBidi"/>
      <w:kern w:val="2"/>
      <w:sz w:val="24"/>
      <w:szCs w:val="21"/>
      <w:lang w:val="en-US" w:eastAsia="zh-CN" w:bidi="ar-SA"/>
    </w:rPr>
  </w:style>
  <w:style w:type="paragraph" w:styleId="3">
    <w:name w:val="heading 1"/>
    <w:basedOn w:val="1"/>
    <w:next w:val="1"/>
    <w:link w:val="41"/>
    <w:qFormat/>
    <w:uiPriority w:val="9"/>
    <w:pPr>
      <w:keepNext/>
      <w:keepLines/>
      <w:numPr>
        <w:ilvl w:val="0"/>
        <w:numId w:val="1"/>
      </w:numPr>
      <w:snapToGrid w:val="0"/>
      <w:spacing w:beforeLines="50" w:beforeAutospacing="0" w:afterLines="50" w:afterAutospacing="0"/>
      <w:jc w:val="both"/>
      <w:outlineLvl w:val="0"/>
    </w:pPr>
    <w:rPr>
      <w:b/>
      <w:bCs/>
      <w:kern w:val="44"/>
      <w:szCs w:val="44"/>
    </w:rPr>
  </w:style>
  <w:style w:type="paragraph" w:styleId="4">
    <w:name w:val="heading 2"/>
    <w:basedOn w:val="1"/>
    <w:next w:val="1"/>
    <w:link w:val="42"/>
    <w:unhideWhenUsed/>
    <w:qFormat/>
    <w:uiPriority w:val="9"/>
    <w:pPr>
      <w:keepNext/>
      <w:keepLines/>
      <w:numPr>
        <w:ilvl w:val="1"/>
        <w:numId w:val="1"/>
      </w:numPr>
      <w:spacing w:beforeLines="50" w:beforeAutospacing="0" w:afterLines="50" w:afterAutospacing="0"/>
      <w:jc w:val="both"/>
      <w:outlineLvl w:val="1"/>
    </w:pPr>
    <w:rPr>
      <w:rFonts w:cstheme="majorBidi"/>
      <w:b/>
      <w:bCs/>
      <w:szCs w:val="32"/>
    </w:rPr>
  </w:style>
  <w:style w:type="paragraph" w:styleId="5">
    <w:name w:val="heading 3"/>
    <w:basedOn w:val="1"/>
    <w:next w:val="1"/>
    <w:link w:val="46"/>
    <w:unhideWhenUsed/>
    <w:qFormat/>
    <w:uiPriority w:val="9"/>
    <w:pPr>
      <w:keepNext/>
      <w:keepLines/>
      <w:numPr>
        <w:ilvl w:val="2"/>
        <w:numId w:val="1"/>
      </w:numPr>
      <w:spacing w:beforeLines="50" w:beforeAutospacing="0" w:afterLines="50" w:afterAutospacing="0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47"/>
    <w:unhideWhenUsed/>
    <w:qFormat/>
    <w:uiPriority w:val="9"/>
    <w:pPr>
      <w:keepNext/>
      <w:keepLines/>
      <w:numPr>
        <w:ilvl w:val="3"/>
        <w:numId w:val="1"/>
      </w:numPr>
      <w:spacing w:beforeLines="50" w:beforeAutospacing="0" w:afterLines="50" w:afterAutospacing="0" w:line="240" w:lineRule="auto"/>
      <w:outlineLvl w:val="3"/>
    </w:pPr>
    <w:rPr>
      <w:rFonts w:cstheme="majorBidi"/>
      <w:b/>
      <w:bCs/>
      <w:szCs w:val="28"/>
    </w:rPr>
  </w:style>
  <w:style w:type="paragraph" w:styleId="7">
    <w:name w:val="heading 5"/>
    <w:basedOn w:val="1"/>
    <w:next w:val="1"/>
    <w:link w:val="5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5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9">
    <w:name w:val="heading 7"/>
    <w:basedOn w:val="1"/>
    <w:next w:val="1"/>
    <w:link w:val="60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b/>
      <w:bCs/>
      <w:szCs w:val="24"/>
    </w:rPr>
  </w:style>
  <w:style w:type="paragraph" w:styleId="10">
    <w:name w:val="heading 8"/>
    <w:basedOn w:val="1"/>
    <w:next w:val="1"/>
    <w:link w:val="61"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1">
    <w:name w:val="heading 9"/>
    <w:basedOn w:val="1"/>
    <w:next w:val="1"/>
    <w:link w:val="62"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</w:rPr>
  </w:style>
  <w:style w:type="character" w:default="1" w:styleId="35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12">
    <w:name w:val="toc 7"/>
    <w:basedOn w:val="1"/>
    <w:next w:val="1"/>
    <w:unhideWhenUsed/>
    <w:qFormat/>
    <w:uiPriority w:val="39"/>
    <w:pPr>
      <w:spacing w:after="0"/>
      <w:ind w:left="1440"/>
    </w:pPr>
    <w:rPr>
      <w:rFonts w:asciiTheme="minorHAnsi" w:eastAsiaTheme="minorHAnsi"/>
      <w:sz w:val="18"/>
      <w:szCs w:val="18"/>
    </w:rPr>
  </w:style>
  <w:style w:type="paragraph" w:styleId="13">
    <w:name w:val="Normal Indent"/>
    <w:basedOn w:val="1"/>
    <w:unhideWhenUsed/>
    <w:qFormat/>
    <w:uiPriority w:val="99"/>
    <w:pPr>
      <w:snapToGrid w:val="0"/>
      <w:ind w:firstLine="200" w:firstLineChars="200"/>
    </w:pPr>
  </w:style>
  <w:style w:type="paragraph" w:styleId="14">
    <w:name w:val="caption"/>
    <w:basedOn w:val="1"/>
    <w:next w:val="1"/>
    <w:unhideWhenUsed/>
    <w:qFormat/>
    <w:uiPriority w:val="35"/>
    <w:pPr>
      <w:snapToGrid w:val="0"/>
      <w:spacing w:before="0" w:beforeAutospacing="0" w:after="0" w:afterAutospacing="0" w:line="240" w:lineRule="auto"/>
      <w:jc w:val="center"/>
    </w:pPr>
    <w:rPr>
      <w:rFonts w:ascii="华文楷体" w:hAnsi="华文楷体" w:eastAsia="华文楷体" w:cs="Times New Roman"/>
      <w:sz w:val="21"/>
      <w:szCs w:val="20"/>
    </w:rPr>
  </w:style>
  <w:style w:type="paragraph" w:styleId="15">
    <w:name w:val="Document Map"/>
    <w:basedOn w:val="1"/>
    <w:link w:val="80"/>
    <w:semiHidden/>
    <w:unhideWhenUsed/>
    <w:uiPriority w:val="99"/>
    <w:rPr>
      <w:rFonts w:ascii="宋体"/>
      <w:sz w:val="18"/>
      <w:szCs w:val="18"/>
    </w:rPr>
  </w:style>
  <w:style w:type="paragraph" w:styleId="16">
    <w:name w:val="annotation text"/>
    <w:basedOn w:val="1"/>
    <w:link w:val="75"/>
    <w:semiHidden/>
    <w:unhideWhenUsed/>
    <w:uiPriority w:val="99"/>
  </w:style>
  <w:style w:type="paragraph" w:styleId="17">
    <w:name w:val="toc 5"/>
    <w:basedOn w:val="1"/>
    <w:next w:val="1"/>
    <w:unhideWhenUsed/>
    <w:uiPriority w:val="39"/>
    <w:pPr>
      <w:spacing w:after="0"/>
      <w:ind w:left="960"/>
    </w:pPr>
    <w:rPr>
      <w:rFonts w:asciiTheme="minorHAnsi" w:eastAsiaTheme="minorHAnsi"/>
      <w:sz w:val="18"/>
      <w:szCs w:val="18"/>
    </w:rPr>
  </w:style>
  <w:style w:type="paragraph" w:styleId="18">
    <w:name w:val="toc 3"/>
    <w:basedOn w:val="1"/>
    <w:next w:val="1"/>
    <w:unhideWhenUsed/>
    <w:uiPriority w:val="39"/>
    <w:pPr>
      <w:tabs>
        <w:tab w:val="left" w:pos="1200"/>
        <w:tab w:val="right" w:leader="dot" w:pos="9060"/>
      </w:tabs>
      <w:snapToGrid w:val="0"/>
      <w:spacing w:before="0" w:beforeAutospacing="0" w:afterLines="50" w:afterAutospacing="0" w:line="240" w:lineRule="auto"/>
      <w:ind w:left="482"/>
    </w:pPr>
    <w:rPr>
      <w:iCs/>
      <w:sz w:val="21"/>
      <w:szCs w:val="20"/>
    </w:rPr>
  </w:style>
  <w:style w:type="paragraph" w:styleId="19">
    <w:name w:val="toc 8"/>
    <w:basedOn w:val="1"/>
    <w:next w:val="1"/>
    <w:unhideWhenUsed/>
    <w:uiPriority w:val="39"/>
    <w:pPr>
      <w:spacing w:after="0"/>
      <w:ind w:left="1680"/>
    </w:pPr>
    <w:rPr>
      <w:rFonts w:asciiTheme="minorHAnsi" w:eastAsiaTheme="minorHAnsi"/>
      <w:sz w:val="18"/>
      <w:szCs w:val="18"/>
    </w:rPr>
  </w:style>
  <w:style w:type="paragraph" w:styleId="20">
    <w:name w:val="Date"/>
    <w:basedOn w:val="1"/>
    <w:next w:val="1"/>
    <w:link w:val="70"/>
    <w:semiHidden/>
    <w:unhideWhenUsed/>
    <w:qFormat/>
    <w:uiPriority w:val="99"/>
    <w:pPr>
      <w:ind w:left="100" w:leftChars="2500"/>
    </w:pPr>
  </w:style>
  <w:style w:type="paragraph" w:styleId="21">
    <w:name w:val="Balloon Text"/>
    <w:basedOn w:val="1"/>
    <w:link w:val="64"/>
    <w:semiHidden/>
    <w:unhideWhenUsed/>
    <w:uiPriority w:val="99"/>
    <w:pPr>
      <w:spacing w:before="0" w:after="0" w:line="240" w:lineRule="auto"/>
    </w:pPr>
    <w:rPr>
      <w:sz w:val="18"/>
      <w:szCs w:val="18"/>
    </w:rPr>
  </w:style>
  <w:style w:type="paragraph" w:styleId="22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23">
    <w:name w:val="header"/>
    <w:basedOn w:val="1"/>
    <w:link w:val="39"/>
    <w:unhideWhenUsed/>
    <w:uiPriority w:val="99"/>
    <w:pPr>
      <w:snapToGrid w:val="0"/>
      <w:spacing w:before="0" w:beforeAutospacing="0" w:after="0" w:afterAutospacing="0"/>
      <w:jc w:val="right"/>
    </w:pPr>
    <w:rPr>
      <w:rFonts w:eastAsia="华文楷体"/>
      <w:sz w:val="18"/>
      <w:szCs w:val="18"/>
    </w:rPr>
  </w:style>
  <w:style w:type="paragraph" w:styleId="24">
    <w:name w:val="toc 1"/>
    <w:basedOn w:val="1"/>
    <w:next w:val="1"/>
    <w:unhideWhenUsed/>
    <w:qFormat/>
    <w:uiPriority w:val="39"/>
    <w:pPr>
      <w:tabs>
        <w:tab w:val="left" w:pos="480"/>
        <w:tab w:val="right" w:leader="dot" w:pos="9060"/>
      </w:tabs>
      <w:snapToGrid w:val="0"/>
      <w:spacing w:before="0" w:beforeAutospacing="0" w:afterLines="50" w:afterAutospacing="0" w:line="240" w:lineRule="auto"/>
    </w:pPr>
    <w:rPr>
      <w:bCs/>
      <w:caps/>
      <w:sz w:val="21"/>
      <w:szCs w:val="20"/>
    </w:rPr>
  </w:style>
  <w:style w:type="paragraph" w:styleId="25">
    <w:name w:val="toc 4"/>
    <w:basedOn w:val="1"/>
    <w:next w:val="1"/>
    <w:unhideWhenUsed/>
    <w:qFormat/>
    <w:uiPriority w:val="39"/>
    <w:pPr>
      <w:spacing w:after="0"/>
      <w:ind w:left="720"/>
    </w:pPr>
    <w:rPr>
      <w:rFonts w:asciiTheme="minorHAnsi" w:eastAsiaTheme="minorHAnsi"/>
      <w:sz w:val="18"/>
      <w:szCs w:val="18"/>
    </w:rPr>
  </w:style>
  <w:style w:type="paragraph" w:styleId="26">
    <w:name w:val="Subtitle"/>
    <w:basedOn w:val="1"/>
    <w:next w:val="1"/>
    <w:link w:val="63"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uiPriority w:val="39"/>
    <w:pPr>
      <w:spacing w:after="0"/>
      <w:ind w:left="1200"/>
    </w:pPr>
    <w:rPr>
      <w:rFonts w:asciiTheme="minorHAnsi" w:eastAsiaTheme="minorHAnsi"/>
      <w:sz w:val="18"/>
      <w:szCs w:val="18"/>
    </w:rPr>
  </w:style>
  <w:style w:type="paragraph" w:styleId="28">
    <w:name w:val="toc 2"/>
    <w:basedOn w:val="1"/>
    <w:next w:val="1"/>
    <w:unhideWhenUsed/>
    <w:qFormat/>
    <w:uiPriority w:val="39"/>
    <w:pPr>
      <w:tabs>
        <w:tab w:val="left" w:pos="960"/>
        <w:tab w:val="right" w:leader="dot" w:pos="9060"/>
      </w:tabs>
      <w:snapToGrid w:val="0"/>
      <w:spacing w:before="0" w:beforeAutospacing="0" w:afterLines="50" w:afterAutospacing="0" w:line="240" w:lineRule="auto"/>
      <w:ind w:left="238"/>
    </w:pPr>
    <w:rPr>
      <w:smallCaps/>
      <w:sz w:val="21"/>
      <w:szCs w:val="20"/>
    </w:rPr>
  </w:style>
  <w:style w:type="paragraph" w:styleId="29">
    <w:name w:val="toc 9"/>
    <w:basedOn w:val="1"/>
    <w:next w:val="1"/>
    <w:unhideWhenUsed/>
    <w:qFormat/>
    <w:uiPriority w:val="39"/>
    <w:pPr>
      <w:spacing w:after="0"/>
      <w:ind w:left="1920"/>
    </w:pPr>
    <w:rPr>
      <w:rFonts w:asciiTheme="minorHAnsi" w:eastAsiaTheme="minorHAnsi"/>
      <w:sz w:val="18"/>
      <w:szCs w:val="18"/>
    </w:rPr>
  </w:style>
  <w:style w:type="paragraph" w:styleId="30">
    <w:name w:val="Normal (Web)"/>
    <w:basedOn w:val="1"/>
    <w:semiHidden/>
    <w:unhideWhenUsed/>
    <w:uiPriority w:val="99"/>
    <w:pPr>
      <w:widowControl/>
      <w:spacing w:line="240" w:lineRule="auto"/>
    </w:pPr>
    <w:rPr>
      <w:rFonts w:ascii="宋体" w:hAnsi="宋体" w:cs="宋体"/>
      <w:kern w:val="0"/>
      <w:szCs w:val="24"/>
    </w:rPr>
  </w:style>
  <w:style w:type="paragraph" w:styleId="31">
    <w:name w:val="Title"/>
    <w:basedOn w:val="1"/>
    <w:next w:val="1"/>
    <w:link w:val="44"/>
    <w:uiPriority w:val="10"/>
    <w:pPr>
      <w:spacing w:beforeLines="5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32">
    <w:name w:val="annotation subject"/>
    <w:basedOn w:val="16"/>
    <w:next w:val="16"/>
    <w:link w:val="76"/>
    <w:semiHidden/>
    <w:unhideWhenUsed/>
    <w:uiPriority w:val="99"/>
    <w:rPr>
      <w:b/>
      <w:bCs/>
    </w:rPr>
  </w:style>
  <w:style w:type="table" w:styleId="34">
    <w:name w:val="Table Grid"/>
    <w:basedOn w:val="3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6">
    <w:name w:val="FollowedHyperlink"/>
    <w:basedOn w:val="35"/>
    <w:semiHidden/>
    <w:unhideWhenUsed/>
    <w:uiPriority w:val="99"/>
    <w:rPr>
      <w:color w:val="954F72" w:themeColor="followedHyperlink"/>
      <w:u w:val="single"/>
    </w:rPr>
  </w:style>
  <w:style w:type="character" w:styleId="37">
    <w:name w:val="Hyperlink"/>
    <w:basedOn w:val="35"/>
    <w:unhideWhenUsed/>
    <w:qFormat/>
    <w:uiPriority w:val="99"/>
    <w:rPr>
      <w:color w:val="0563C1" w:themeColor="hyperlink"/>
      <w:u w:val="single"/>
    </w:rPr>
  </w:style>
  <w:style w:type="character" w:styleId="38">
    <w:name w:val="annotation reference"/>
    <w:basedOn w:val="35"/>
    <w:semiHidden/>
    <w:unhideWhenUsed/>
    <w:uiPriority w:val="99"/>
    <w:rPr>
      <w:sz w:val="21"/>
      <w:szCs w:val="21"/>
    </w:rPr>
  </w:style>
  <w:style w:type="character" w:customStyle="1" w:styleId="39">
    <w:name w:val="页眉 Char"/>
    <w:basedOn w:val="35"/>
    <w:link w:val="23"/>
    <w:qFormat/>
    <w:uiPriority w:val="99"/>
    <w:rPr>
      <w:rFonts w:ascii="Calibri" w:hAnsi="Calibri" w:eastAsia="华文楷体"/>
      <w:sz w:val="18"/>
      <w:szCs w:val="18"/>
    </w:rPr>
  </w:style>
  <w:style w:type="character" w:customStyle="1" w:styleId="40">
    <w:name w:val="页脚 Char"/>
    <w:basedOn w:val="35"/>
    <w:link w:val="22"/>
    <w:uiPriority w:val="99"/>
    <w:rPr>
      <w:rFonts w:ascii="Calibri" w:hAnsi="Calibri" w:eastAsia="宋体"/>
      <w:sz w:val="18"/>
      <w:szCs w:val="18"/>
    </w:rPr>
  </w:style>
  <w:style w:type="character" w:customStyle="1" w:styleId="41">
    <w:name w:val="标题 1 Char"/>
    <w:basedOn w:val="35"/>
    <w:link w:val="3"/>
    <w:qFormat/>
    <w:uiPriority w:val="9"/>
    <w:rPr>
      <w:rFonts w:ascii="Calibri" w:hAnsi="Calibri" w:eastAsia="宋体"/>
      <w:b/>
      <w:bCs/>
      <w:kern w:val="44"/>
      <w:sz w:val="24"/>
      <w:szCs w:val="44"/>
    </w:rPr>
  </w:style>
  <w:style w:type="character" w:customStyle="1" w:styleId="42">
    <w:name w:val="标题 2 Char"/>
    <w:basedOn w:val="35"/>
    <w:link w:val="4"/>
    <w:uiPriority w:val="9"/>
    <w:rPr>
      <w:rFonts w:ascii="Calibri" w:hAnsi="Calibri" w:eastAsia="宋体" w:cstheme="majorBidi"/>
      <w:b/>
      <w:bCs/>
      <w:sz w:val="24"/>
      <w:szCs w:val="32"/>
    </w:rPr>
  </w:style>
  <w:style w:type="paragraph" w:styleId="43">
    <w:name w:val="List Paragraph"/>
    <w:basedOn w:val="1"/>
    <w:uiPriority w:val="34"/>
    <w:pPr>
      <w:spacing w:beforeLines="50"/>
      <w:ind w:firstLine="420" w:firstLineChars="200"/>
    </w:pPr>
  </w:style>
  <w:style w:type="character" w:customStyle="1" w:styleId="44">
    <w:name w:val="标题 Char"/>
    <w:basedOn w:val="35"/>
    <w:link w:val="31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45">
    <w:name w:val="TOC Heading"/>
    <w:basedOn w:val="3"/>
    <w:next w:val="1"/>
    <w:unhideWhenUsed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46">
    <w:name w:val="标题 3 Char"/>
    <w:basedOn w:val="35"/>
    <w:link w:val="5"/>
    <w:qFormat/>
    <w:uiPriority w:val="9"/>
    <w:rPr>
      <w:rFonts w:ascii="Calibri" w:hAnsi="Calibri" w:eastAsia="宋体"/>
      <w:b/>
      <w:bCs/>
      <w:sz w:val="24"/>
      <w:szCs w:val="32"/>
    </w:rPr>
  </w:style>
  <w:style w:type="character" w:customStyle="1" w:styleId="47">
    <w:name w:val="标题 4 Char"/>
    <w:basedOn w:val="35"/>
    <w:link w:val="6"/>
    <w:uiPriority w:val="9"/>
    <w:rPr>
      <w:rFonts w:ascii="Calibri" w:hAnsi="Calibri" w:eastAsia="宋体" w:cstheme="majorBidi"/>
      <w:b/>
      <w:bCs/>
      <w:sz w:val="24"/>
      <w:szCs w:val="28"/>
    </w:rPr>
  </w:style>
  <w:style w:type="paragraph" w:customStyle="1" w:styleId="48">
    <w:name w:val="标题4"/>
    <w:basedOn w:val="1"/>
    <w:link w:val="77"/>
    <w:qFormat/>
    <w:uiPriority w:val="0"/>
    <w:pPr>
      <w:tabs>
        <w:tab w:val="left" w:pos="851"/>
      </w:tabs>
      <w:spacing w:before="156" w:after="156"/>
      <w:ind w:left="425" w:hanging="425"/>
    </w:pPr>
  </w:style>
  <w:style w:type="character" w:customStyle="1" w:styleId="49">
    <w:name w:val="首页底部要点 Char"/>
    <w:link w:val="50"/>
    <w:uiPriority w:val="0"/>
    <w:rPr>
      <w:rFonts w:ascii="Calibri" w:hAnsi="Calibri" w:eastAsia="宋体"/>
      <w:b/>
      <w:color w:val="000000"/>
      <w:sz w:val="28"/>
      <w:szCs w:val="24"/>
    </w:rPr>
  </w:style>
  <w:style w:type="paragraph" w:customStyle="1" w:styleId="50">
    <w:name w:val="首页底部要点"/>
    <w:basedOn w:val="1"/>
    <w:link w:val="49"/>
    <w:uiPriority w:val="0"/>
    <w:pPr>
      <w:jc w:val="center"/>
    </w:pPr>
    <w:rPr>
      <w:b/>
      <w:color w:val="000000"/>
      <w:sz w:val="28"/>
      <w:szCs w:val="24"/>
    </w:rPr>
  </w:style>
  <w:style w:type="paragraph" w:customStyle="1" w:styleId="51">
    <w:name w:val="表格标题"/>
    <w:basedOn w:val="1"/>
    <w:qFormat/>
    <w:uiPriority w:val="0"/>
    <w:pPr>
      <w:spacing w:after="0" w:line="22" w:lineRule="atLeast"/>
      <w:jc w:val="center"/>
    </w:pPr>
    <w:rPr>
      <w:rFonts w:cs="Times New Roman"/>
      <w:b/>
    </w:rPr>
  </w:style>
  <w:style w:type="paragraph" w:customStyle="1" w:styleId="52">
    <w:name w:val="图片"/>
    <w:basedOn w:val="1"/>
    <w:link w:val="72"/>
    <w:qFormat/>
    <w:uiPriority w:val="0"/>
    <w:pPr>
      <w:snapToGrid w:val="0"/>
      <w:spacing w:after="0" w:afterAutospacing="0"/>
      <w:jc w:val="center"/>
    </w:pPr>
  </w:style>
  <w:style w:type="paragraph" w:customStyle="1" w:styleId="53">
    <w:name w:val="表格内容"/>
    <w:basedOn w:val="1"/>
    <w:qFormat/>
    <w:uiPriority w:val="0"/>
    <w:pPr>
      <w:snapToGrid w:val="0"/>
      <w:spacing w:before="0" w:beforeAutospacing="0" w:after="0" w:afterAutospacing="0"/>
    </w:pPr>
  </w:style>
  <w:style w:type="paragraph" w:customStyle="1" w:styleId="54">
    <w:name w:val="四级标题"/>
    <w:basedOn w:val="1"/>
    <w:qFormat/>
    <w:uiPriority w:val="0"/>
    <w:pPr>
      <w:numPr>
        <w:ilvl w:val="4"/>
        <w:numId w:val="1"/>
      </w:numPr>
      <w:jc w:val="both"/>
    </w:pPr>
  </w:style>
  <w:style w:type="paragraph" w:customStyle="1" w:styleId="55">
    <w:name w:val="五级标题"/>
    <w:basedOn w:val="13"/>
    <w:qFormat/>
    <w:uiPriority w:val="0"/>
    <w:pPr>
      <w:numPr>
        <w:ilvl w:val="5"/>
        <w:numId w:val="1"/>
      </w:numPr>
      <w:ind w:left="908" w:hanging="454" w:firstLineChars="0"/>
      <w:jc w:val="both"/>
    </w:pPr>
  </w:style>
  <w:style w:type="paragraph" w:customStyle="1" w:styleId="56">
    <w:name w:val="六级标题"/>
    <w:basedOn w:val="13"/>
    <w:qFormat/>
    <w:uiPriority w:val="0"/>
    <w:pPr>
      <w:numPr>
        <w:ilvl w:val="6"/>
        <w:numId w:val="1"/>
      </w:numPr>
      <w:ind w:firstLineChars="0"/>
      <w:jc w:val="both"/>
    </w:pPr>
  </w:style>
  <w:style w:type="paragraph" w:customStyle="1" w:styleId="57">
    <w:name w:val="七级标题"/>
    <w:basedOn w:val="13"/>
    <w:qFormat/>
    <w:uiPriority w:val="0"/>
    <w:pPr>
      <w:numPr>
        <w:ilvl w:val="7"/>
        <w:numId w:val="1"/>
      </w:numPr>
      <w:ind w:firstLineChars="0"/>
      <w:jc w:val="both"/>
    </w:pPr>
  </w:style>
  <w:style w:type="character" w:customStyle="1" w:styleId="58">
    <w:name w:val="标题 5 Char"/>
    <w:basedOn w:val="35"/>
    <w:link w:val="7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59">
    <w:name w:val="标题 6 Char"/>
    <w:basedOn w:val="35"/>
    <w:link w:val="8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60">
    <w:name w:val="标题 7 Char"/>
    <w:basedOn w:val="35"/>
    <w:link w:val="9"/>
    <w:semiHidden/>
    <w:uiPriority w:val="9"/>
    <w:rPr>
      <w:rFonts w:ascii="Calibri" w:hAnsi="Calibri" w:eastAsia="宋体"/>
      <w:b/>
      <w:bCs/>
      <w:sz w:val="24"/>
      <w:szCs w:val="24"/>
    </w:rPr>
  </w:style>
  <w:style w:type="character" w:customStyle="1" w:styleId="61">
    <w:name w:val="标题 8 Char"/>
    <w:basedOn w:val="35"/>
    <w:link w:val="10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2">
    <w:name w:val="标题 9 Char"/>
    <w:basedOn w:val="35"/>
    <w:link w:val="11"/>
    <w:semiHidden/>
    <w:uiPriority w:val="9"/>
    <w:rPr>
      <w:rFonts w:asciiTheme="majorHAnsi" w:hAnsiTheme="majorHAnsi" w:eastAsiaTheme="majorEastAsia" w:cstheme="majorBidi"/>
      <w:sz w:val="24"/>
    </w:rPr>
  </w:style>
  <w:style w:type="character" w:customStyle="1" w:styleId="63">
    <w:name w:val="副标题 Char"/>
    <w:basedOn w:val="35"/>
    <w:link w:val="26"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64">
    <w:name w:val="批注框文本 Char"/>
    <w:basedOn w:val="35"/>
    <w:link w:val="21"/>
    <w:semiHidden/>
    <w:qFormat/>
    <w:uiPriority w:val="99"/>
    <w:rPr>
      <w:rFonts w:ascii="Calibri" w:hAnsi="Calibri" w:eastAsia="宋体"/>
      <w:sz w:val="18"/>
      <w:szCs w:val="18"/>
    </w:rPr>
  </w:style>
  <w:style w:type="paragraph" w:styleId="65">
    <w:name w:val="No Spacing"/>
    <w:basedOn w:val="1"/>
    <w:uiPriority w:val="0"/>
    <w:pPr>
      <w:snapToGrid w:val="0"/>
      <w:spacing w:before="0" w:beforeAutospacing="0" w:after="0" w:afterAutospacing="0"/>
    </w:pPr>
  </w:style>
  <w:style w:type="character" w:customStyle="1" w:styleId="66">
    <w:name w:val="首页底部 字符"/>
    <w:link w:val="67"/>
    <w:uiPriority w:val="0"/>
    <w:rPr>
      <w:rFonts w:ascii="Calibri" w:hAnsi="Calibri" w:eastAsia="宋体"/>
      <w:b/>
      <w:color w:val="000000"/>
      <w:sz w:val="28"/>
      <w:szCs w:val="24"/>
    </w:rPr>
  </w:style>
  <w:style w:type="paragraph" w:customStyle="1" w:styleId="67">
    <w:name w:val="首页底部"/>
    <w:basedOn w:val="1"/>
    <w:link w:val="66"/>
    <w:qFormat/>
    <w:uiPriority w:val="0"/>
    <w:pPr>
      <w:snapToGrid w:val="0"/>
      <w:spacing w:before="0" w:beforeAutospacing="0" w:after="0" w:afterAutospacing="0" w:line="360" w:lineRule="auto"/>
      <w:jc w:val="center"/>
    </w:pPr>
    <w:rPr>
      <w:b/>
      <w:color w:val="000000"/>
      <w:sz w:val="28"/>
      <w:szCs w:val="24"/>
    </w:rPr>
  </w:style>
  <w:style w:type="paragraph" w:customStyle="1" w:styleId="68">
    <w:name w:val="表格正文"/>
    <w:basedOn w:val="1"/>
    <w:uiPriority w:val="0"/>
    <w:pPr>
      <w:spacing w:before="0" w:beforeAutospacing="0" w:after="0" w:afterAutospacing="0"/>
    </w:pPr>
  </w:style>
  <w:style w:type="paragraph" w:customStyle="1" w:styleId="69">
    <w:name w:val="图注"/>
    <w:basedOn w:val="14"/>
    <w:uiPriority w:val="0"/>
  </w:style>
  <w:style w:type="character" w:customStyle="1" w:styleId="70">
    <w:name w:val="日期 Char"/>
    <w:basedOn w:val="35"/>
    <w:link w:val="20"/>
    <w:semiHidden/>
    <w:uiPriority w:val="99"/>
    <w:rPr>
      <w:rFonts w:ascii="Calibri" w:hAnsi="Calibri" w:eastAsia="宋体"/>
      <w:sz w:val="24"/>
    </w:rPr>
  </w:style>
  <w:style w:type="paragraph" w:customStyle="1" w:styleId="71">
    <w:name w:val="备注"/>
    <w:basedOn w:val="1"/>
    <w:qFormat/>
    <w:uiPriority w:val="0"/>
    <w:pPr>
      <w:snapToGrid w:val="0"/>
      <w:spacing w:before="0" w:beforeAutospacing="0" w:after="0" w:afterAutospacing="0"/>
    </w:pPr>
    <w:rPr>
      <w:rFonts w:ascii="华文楷体" w:hAnsi="华文楷体" w:eastAsia="华文楷体"/>
      <w:szCs w:val="24"/>
    </w:rPr>
  </w:style>
  <w:style w:type="character" w:customStyle="1" w:styleId="72">
    <w:name w:val="图片 字符"/>
    <w:basedOn w:val="35"/>
    <w:link w:val="52"/>
    <w:uiPriority w:val="0"/>
    <w:rPr>
      <w:rFonts w:ascii="Calibri" w:hAnsi="Calibri" w:eastAsia="宋体"/>
      <w:sz w:val="24"/>
    </w:rPr>
  </w:style>
  <w:style w:type="paragraph" w:customStyle="1" w:styleId="73">
    <w:name w:val="首页标题"/>
    <w:basedOn w:val="1"/>
    <w:link w:val="74"/>
    <w:uiPriority w:val="0"/>
    <w:pPr>
      <w:snapToGrid w:val="0"/>
      <w:jc w:val="center"/>
    </w:pPr>
    <w:rPr>
      <w:b/>
      <w:color w:val="000000"/>
      <w:sz w:val="52"/>
      <w:szCs w:val="24"/>
    </w:rPr>
  </w:style>
  <w:style w:type="character" w:customStyle="1" w:styleId="74">
    <w:name w:val="首页标题 字符"/>
    <w:link w:val="73"/>
    <w:uiPriority w:val="0"/>
    <w:rPr>
      <w:rFonts w:ascii="Calibri" w:hAnsi="Calibri" w:eastAsia="宋体"/>
      <w:b/>
      <w:color w:val="000000"/>
      <w:sz w:val="52"/>
      <w:szCs w:val="24"/>
    </w:rPr>
  </w:style>
  <w:style w:type="character" w:customStyle="1" w:styleId="75">
    <w:name w:val="批注文字 Char"/>
    <w:basedOn w:val="35"/>
    <w:link w:val="16"/>
    <w:semiHidden/>
    <w:uiPriority w:val="99"/>
    <w:rPr>
      <w:rFonts w:ascii="Calibri" w:hAnsi="Calibri" w:eastAsia="宋体"/>
      <w:sz w:val="24"/>
    </w:rPr>
  </w:style>
  <w:style w:type="character" w:customStyle="1" w:styleId="76">
    <w:name w:val="批注主题 Char"/>
    <w:basedOn w:val="75"/>
    <w:link w:val="32"/>
    <w:semiHidden/>
    <w:uiPriority w:val="99"/>
    <w:rPr>
      <w:rFonts w:ascii="Calibri" w:hAnsi="Calibri" w:eastAsia="宋体"/>
      <w:b/>
      <w:bCs/>
      <w:sz w:val="24"/>
    </w:rPr>
  </w:style>
  <w:style w:type="character" w:customStyle="1" w:styleId="77">
    <w:name w:val="标题4 字符"/>
    <w:basedOn w:val="35"/>
    <w:link w:val="48"/>
    <w:uiPriority w:val="0"/>
    <w:rPr>
      <w:rFonts w:ascii="Calibri" w:hAnsi="Calibri" w:eastAsia="宋体"/>
      <w:sz w:val="24"/>
    </w:rPr>
  </w:style>
  <w:style w:type="paragraph" w:customStyle="1" w:styleId="78">
    <w:name w:val="注意事项"/>
    <w:basedOn w:val="43"/>
    <w:uiPriority w:val="0"/>
    <w:pPr>
      <w:spacing w:before="0" w:beforeAutospacing="0" w:after="0" w:afterAutospacing="0"/>
      <w:ind w:firstLine="0" w:firstLineChars="0"/>
    </w:pPr>
    <w:rPr>
      <w:rFonts w:ascii="华文楷体" w:hAnsi="华文楷体" w:eastAsia="华文楷体"/>
    </w:rPr>
  </w:style>
  <w:style w:type="paragraph" w:customStyle="1" w:styleId="79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80">
    <w:name w:val="文档结构图 Char"/>
    <w:basedOn w:val="35"/>
    <w:link w:val="15"/>
    <w:semiHidden/>
    <w:uiPriority w:val="99"/>
    <w:rPr>
      <w:rFonts w:ascii="宋体" w:hAnsi="Calibri" w:eastAsia="宋体"/>
      <w:sz w:val="18"/>
      <w:szCs w:val="18"/>
    </w:rPr>
  </w:style>
  <w:style w:type="paragraph" w:customStyle="1" w:styleId="81">
    <w:name w:val="0号正文"/>
    <w:basedOn w:val="1"/>
    <w:qFormat/>
    <w:uiPriority w:val="0"/>
    <w:pPr>
      <w:spacing w:before="156" w:after="156" w:line="300" w:lineRule="auto"/>
      <w:ind w:firstLine="480" w:firstLineChars="200"/>
    </w:pPr>
    <w:rPr>
      <w:rFonts w:ascii="Arial" w:hAnsi="Arial"/>
      <w:sz w:val="24"/>
      <w:szCs w:val="24"/>
    </w:rPr>
  </w:style>
  <w:style w:type="paragraph" w:customStyle="1" w:styleId="82">
    <w:name w:val="列出段落1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6" Type="http://schemas.openxmlformats.org/officeDocument/2006/relationships/fontTable" Target="fontTable.xml"/><Relationship Id="rId35" Type="http://schemas.openxmlformats.org/officeDocument/2006/relationships/customXml" Target="../customXml/item2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A0FEF2-9154-490A-8DB3-4E0B637CE0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781</Words>
  <Characters>4457</Characters>
  <Lines>37</Lines>
  <Paragraphs>10</Paragraphs>
  <TotalTime>1</TotalTime>
  <ScaleCrop>false</ScaleCrop>
  <LinksUpToDate>false</LinksUpToDate>
  <CharactersWithSpaces>5228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2017-07-03T02:18:00Z</dcterms:created>
  <dc:creator>lisa</dc:creator>
  <cp:lastModifiedBy>晏子</cp:lastModifiedBy>
  <cp:lastPrinted>2020-05-14T06:16:00Z</cp:lastPrinted>
  <dcterms:modified xsi:type="dcterms:W3CDTF">2020-09-18T08:08:36Z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