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840" w:firstLineChars="3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一次性使用植入式给药装置留置针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属性（勾选）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国产（√)  进口（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2800" w:firstLineChars="10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金属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输液针头及附属套件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无菌密封包装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（科室）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distribute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jc w:val="distribute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肿瘤化疗、放疗、介入及需要长期输液患者科室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ind w:leftChars="1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 w:firstLine="840" w:firstLineChars="30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无损伤专用针（对输液港无损伤）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rFonts w:hint="eastAsia"/>
          <w:sz w:val="28"/>
          <w:szCs w:val="28"/>
        </w:rPr>
        <w:t xml:space="preserve"> 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AC7E33"/>
    <w:rsid w:val="00FC5366"/>
    <w:rsid w:val="0A654E24"/>
    <w:rsid w:val="291C3A2B"/>
    <w:rsid w:val="31490549"/>
    <w:rsid w:val="3BD8499A"/>
    <w:rsid w:val="3EFE4153"/>
    <w:rsid w:val="408A681E"/>
    <w:rsid w:val="4402744D"/>
    <w:rsid w:val="574B6585"/>
    <w:rsid w:val="601F7DB9"/>
    <w:rsid w:val="6B0A6610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紫馨灵金</cp:lastModifiedBy>
  <cp:lastPrinted>2020-04-23T08:31:00Z</cp:lastPrinted>
  <dcterms:modified xsi:type="dcterms:W3CDTF">2020-08-28T02:56:24Z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