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tabs>
          <w:tab w:val="left" w:pos="426"/>
          <w:tab w:val="left" w:pos="2730"/>
        </w:tabs>
        <w:adjustRightInd w:val="0"/>
        <w:snapToGrid w:val="0"/>
        <w:spacing w:line="360" w:lineRule="auto"/>
        <w:ind w:right="-512" w:rightChars="-244" w:firstLine="479" w:firstLineChars="149"/>
        <w:rPr>
          <w:rFonts w:ascii="仿宋" w:hAnsi="仿宋" w:eastAsia="仿宋" w:cs="宋体"/>
          <w:b/>
          <w:bCs/>
          <w:sz w:val="32"/>
          <w:szCs w:val="32"/>
        </w:rPr>
      </w:pPr>
      <w:bookmarkStart w:id="0" w:name="_Hlk35251686"/>
      <w:r>
        <w:rPr>
          <w:rFonts w:hint="eastAsia" w:ascii="仿宋" w:hAnsi="仿宋" w:eastAsia="仿宋" w:cs="宋体"/>
          <w:b/>
          <w:bCs/>
          <w:sz w:val="32"/>
          <w:szCs w:val="32"/>
          <w:lang w:val="en-US" w:eastAsia="zh-CN"/>
        </w:rPr>
        <w:t xml:space="preserve">  秀山医院放疗及核医学设备</w:t>
      </w:r>
      <w:r>
        <w:rPr>
          <w:rFonts w:hint="eastAsia" w:ascii="仿宋" w:hAnsi="仿宋" w:eastAsia="仿宋" w:cs="宋体"/>
          <w:b/>
          <w:bCs/>
          <w:sz w:val="32"/>
          <w:szCs w:val="32"/>
        </w:rPr>
        <w:t>预评、控评</w:t>
      </w:r>
      <w:bookmarkEnd w:id="0"/>
      <w:r>
        <w:rPr>
          <w:rFonts w:hint="eastAsia" w:ascii="仿宋" w:hAnsi="仿宋" w:eastAsia="仿宋" w:cs="宋体"/>
          <w:b/>
          <w:bCs/>
          <w:sz w:val="32"/>
          <w:szCs w:val="32"/>
        </w:rPr>
        <w:t>服务要求</w:t>
      </w:r>
    </w:p>
    <w:p>
      <w:pPr>
        <w:autoSpaceDE w:val="0"/>
        <w:autoSpaceDN w:val="0"/>
        <w:adjustRightInd w:val="0"/>
        <w:spacing w:line="360" w:lineRule="auto"/>
        <w:jc w:val="left"/>
        <w:rPr>
          <w:rFonts w:ascii="仿宋" w:hAnsi="仿宋" w:cs="宋体"/>
          <w:sz w:val="30"/>
          <w:szCs w:val="28"/>
        </w:rPr>
      </w:pPr>
      <w:r>
        <w:rPr>
          <w:rFonts w:hint="eastAsia" w:ascii="仿宋" w:hAnsi="仿宋" w:cs="宋体"/>
          <w:sz w:val="30"/>
          <w:szCs w:val="28"/>
        </w:rPr>
        <w:t>一，服务要求</w:t>
      </w:r>
    </w:p>
    <w:p>
      <w:pPr>
        <w:autoSpaceDE w:val="0"/>
        <w:autoSpaceDN w:val="0"/>
        <w:adjustRightInd w:val="0"/>
        <w:spacing w:line="360" w:lineRule="auto"/>
        <w:jc w:val="left"/>
        <w:rPr>
          <w:rFonts w:ascii="仿宋" w:hAnsi="仿宋" w:cs="宋体"/>
          <w:sz w:val="30"/>
          <w:szCs w:val="28"/>
        </w:rPr>
      </w:pPr>
      <w:r>
        <w:rPr>
          <w:rFonts w:ascii="仿宋" w:hAnsi="仿宋" w:cs="宋体"/>
          <w:sz w:val="30"/>
          <w:szCs w:val="28"/>
        </w:rPr>
        <w:t>1</w:t>
      </w:r>
      <w:r>
        <w:rPr>
          <w:rFonts w:hint="eastAsia" w:ascii="仿宋" w:hAnsi="仿宋" w:cs="宋体"/>
          <w:sz w:val="30"/>
          <w:szCs w:val="28"/>
        </w:rPr>
        <w:t>、设备清单</w:t>
      </w:r>
    </w:p>
    <w:tbl>
      <w:tblPr>
        <w:tblStyle w:val="6"/>
        <w:tblW w:w="8664" w:type="dxa"/>
        <w:tblInd w:w="0" w:type="dxa"/>
        <w:tblLayout w:type="fixed"/>
        <w:tblCellMar>
          <w:top w:w="0" w:type="dxa"/>
          <w:left w:w="108" w:type="dxa"/>
          <w:bottom w:w="0" w:type="dxa"/>
          <w:right w:w="108" w:type="dxa"/>
        </w:tblCellMar>
      </w:tblPr>
      <w:tblGrid>
        <w:gridCol w:w="1965"/>
        <w:gridCol w:w="6699"/>
      </w:tblGrid>
      <w:tr>
        <w:tblPrEx>
          <w:tblCellMar>
            <w:top w:w="0" w:type="dxa"/>
            <w:left w:w="108" w:type="dxa"/>
            <w:bottom w:w="0" w:type="dxa"/>
            <w:right w:w="108" w:type="dxa"/>
          </w:tblCellMar>
        </w:tblPrEx>
        <w:trPr>
          <w:trHeight w:val="741" w:hRule="atLeast"/>
        </w:trPr>
        <w:tc>
          <w:tcPr>
            <w:tcW w:w="196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cs="宋体"/>
                <w:kern w:val="0"/>
                <w:sz w:val="30"/>
                <w:szCs w:val="24"/>
              </w:rPr>
            </w:pPr>
            <w:r>
              <w:rPr>
                <w:rFonts w:hint="eastAsia" w:ascii="仿宋" w:hAnsi="仿宋" w:cs="宋体"/>
                <w:kern w:val="0"/>
                <w:sz w:val="30"/>
                <w:szCs w:val="24"/>
              </w:rPr>
              <w:t>序号</w:t>
            </w:r>
          </w:p>
        </w:tc>
        <w:tc>
          <w:tcPr>
            <w:tcW w:w="6699"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cs="宋体"/>
                <w:kern w:val="0"/>
                <w:sz w:val="30"/>
                <w:szCs w:val="24"/>
              </w:rPr>
            </w:pPr>
            <w:r>
              <w:rPr>
                <w:rFonts w:hint="eastAsia" w:ascii="仿宋" w:hAnsi="仿宋" w:cs="宋体"/>
                <w:kern w:val="0"/>
                <w:sz w:val="30"/>
                <w:szCs w:val="24"/>
              </w:rPr>
              <w:t>射线装置名称</w:t>
            </w:r>
          </w:p>
        </w:tc>
      </w:tr>
      <w:tr>
        <w:tblPrEx>
          <w:tblCellMar>
            <w:top w:w="0" w:type="dxa"/>
            <w:left w:w="108" w:type="dxa"/>
            <w:bottom w:w="0" w:type="dxa"/>
            <w:right w:w="108" w:type="dxa"/>
          </w:tblCellMar>
        </w:tblPrEx>
        <w:trPr>
          <w:trHeight w:val="688" w:hRule="atLeast"/>
        </w:trPr>
        <w:tc>
          <w:tcPr>
            <w:tcW w:w="1965"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cs="宋体"/>
                <w:kern w:val="0"/>
                <w:sz w:val="30"/>
                <w:szCs w:val="24"/>
              </w:rPr>
            </w:pPr>
            <w:r>
              <w:rPr>
                <w:rFonts w:hint="eastAsia" w:ascii="仿宋" w:hAnsi="仿宋" w:cs="宋体"/>
                <w:kern w:val="0"/>
                <w:sz w:val="30"/>
                <w:szCs w:val="24"/>
              </w:rPr>
              <w:t>1</w:t>
            </w:r>
          </w:p>
        </w:tc>
        <w:tc>
          <w:tcPr>
            <w:tcW w:w="6699" w:type="dxa"/>
            <w:tcBorders>
              <w:top w:val="nil"/>
              <w:left w:val="nil"/>
              <w:bottom w:val="single" w:color="auto" w:sz="4" w:space="0"/>
              <w:right w:val="single" w:color="auto" w:sz="4" w:space="0"/>
            </w:tcBorders>
            <w:vAlign w:val="center"/>
          </w:tcPr>
          <w:p>
            <w:pPr>
              <w:widowControl/>
              <w:spacing w:line="360" w:lineRule="auto"/>
              <w:jc w:val="center"/>
              <w:rPr>
                <w:rFonts w:ascii="仿宋" w:hAnsi="仿宋" w:cs="宋体"/>
                <w:kern w:val="0"/>
                <w:sz w:val="30"/>
                <w:szCs w:val="24"/>
              </w:rPr>
            </w:pPr>
            <w:r>
              <w:rPr>
                <w:rFonts w:hint="eastAsia" w:ascii="仿宋" w:hAnsi="仿宋" w:cs="宋体"/>
                <w:kern w:val="0"/>
                <w:sz w:val="30"/>
                <w:szCs w:val="24"/>
              </w:rPr>
              <w:t>（DSA）血管造影机</w:t>
            </w:r>
          </w:p>
        </w:tc>
      </w:tr>
      <w:tr>
        <w:tblPrEx>
          <w:tblCellMar>
            <w:top w:w="0" w:type="dxa"/>
            <w:left w:w="108" w:type="dxa"/>
            <w:bottom w:w="0" w:type="dxa"/>
            <w:right w:w="108" w:type="dxa"/>
          </w:tblCellMar>
        </w:tblPrEx>
        <w:trPr>
          <w:trHeight w:val="688" w:hRule="atLeast"/>
        </w:trPr>
        <w:tc>
          <w:tcPr>
            <w:tcW w:w="1965"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cs="宋体"/>
                <w:kern w:val="0"/>
                <w:sz w:val="30"/>
                <w:szCs w:val="24"/>
              </w:rPr>
            </w:pPr>
            <w:r>
              <w:rPr>
                <w:rFonts w:hint="eastAsia" w:ascii="仿宋" w:hAnsi="仿宋" w:cs="宋体"/>
                <w:kern w:val="0"/>
                <w:sz w:val="30"/>
                <w:szCs w:val="24"/>
              </w:rPr>
              <w:t>2</w:t>
            </w:r>
          </w:p>
        </w:tc>
        <w:tc>
          <w:tcPr>
            <w:tcW w:w="6699" w:type="dxa"/>
            <w:tcBorders>
              <w:top w:val="nil"/>
              <w:left w:val="nil"/>
              <w:bottom w:val="single" w:color="auto" w:sz="4" w:space="0"/>
              <w:right w:val="single" w:color="auto" w:sz="4" w:space="0"/>
            </w:tcBorders>
            <w:vAlign w:val="center"/>
          </w:tcPr>
          <w:p>
            <w:pPr>
              <w:widowControl/>
              <w:spacing w:line="360" w:lineRule="auto"/>
              <w:jc w:val="center"/>
              <w:rPr>
                <w:rFonts w:ascii="仿宋" w:hAnsi="仿宋" w:cs="宋体"/>
                <w:kern w:val="0"/>
                <w:sz w:val="30"/>
                <w:szCs w:val="24"/>
              </w:rPr>
            </w:pPr>
            <w:r>
              <w:rPr>
                <w:rFonts w:hint="eastAsia" w:ascii="仿宋" w:hAnsi="仿宋" w:cs="宋体"/>
                <w:kern w:val="0"/>
                <w:sz w:val="30"/>
                <w:szCs w:val="24"/>
              </w:rPr>
              <w:t>（ECT）发射型计算断层扫描仪</w:t>
            </w:r>
          </w:p>
        </w:tc>
      </w:tr>
      <w:tr>
        <w:tblPrEx>
          <w:tblCellMar>
            <w:top w:w="0" w:type="dxa"/>
            <w:left w:w="108" w:type="dxa"/>
            <w:bottom w:w="0" w:type="dxa"/>
            <w:right w:w="108" w:type="dxa"/>
          </w:tblCellMar>
        </w:tblPrEx>
        <w:trPr>
          <w:trHeight w:val="688" w:hRule="atLeast"/>
        </w:trPr>
        <w:tc>
          <w:tcPr>
            <w:tcW w:w="1965"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cs="宋体"/>
                <w:kern w:val="0"/>
                <w:sz w:val="30"/>
                <w:szCs w:val="24"/>
              </w:rPr>
            </w:pPr>
            <w:r>
              <w:rPr>
                <w:rFonts w:hint="eastAsia" w:ascii="仿宋" w:hAnsi="仿宋" w:cs="宋体"/>
                <w:kern w:val="0"/>
                <w:sz w:val="30"/>
                <w:szCs w:val="24"/>
              </w:rPr>
              <w:t>3</w:t>
            </w:r>
          </w:p>
        </w:tc>
        <w:tc>
          <w:tcPr>
            <w:tcW w:w="6699" w:type="dxa"/>
            <w:tcBorders>
              <w:top w:val="nil"/>
              <w:left w:val="nil"/>
              <w:bottom w:val="single" w:color="auto" w:sz="4" w:space="0"/>
              <w:right w:val="single" w:color="auto" w:sz="4" w:space="0"/>
            </w:tcBorders>
            <w:vAlign w:val="center"/>
          </w:tcPr>
          <w:p>
            <w:pPr>
              <w:widowControl/>
              <w:spacing w:line="360" w:lineRule="auto"/>
              <w:jc w:val="center"/>
              <w:rPr>
                <w:rFonts w:ascii="仿宋" w:hAnsi="仿宋" w:cs="宋体"/>
                <w:kern w:val="0"/>
                <w:sz w:val="30"/>
                <w:szCs w:val="24"/>
              </w:rPr>
            </w:pPr>
            <w:r>
              <w:rPr>
                <w:rFonts w:hint="eastAsia" w:ascii="仿宋" w:hAnsi="仿宋" w:cs="宋体"/>
                <w:kern w:val="0"/>
                <w:sz w:val="30"/>
                <w:szCs w:val="24"/>
              </w:rPr>
              <w:t>（PET-CT）正电子发射计算机断层显像</w:t>
            </w:r>
          </w:p>
        </w:tc>
      </w:tr>
      <w:tr>
        <w:tblPrEx>
          <w:tblCellMar>
            <w:top w:w="0" w:type="dxa"/>
            <w:left w:w="108" w:type="dxa"/>
            <w:bottom w:w="0" w:type="dxa"/>
            <w:right w:w="108" w:type="dxa"/>
          </w:tblCellMar>
        </w:tblPrEx>
        <w:trPr>
          <w:trHeight w:val="688" w:hRule="atLeast"/>
        </w:trPr>
        <w:tc>
          <w:tcPr>
            <w:tcW w:w="1965"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cs="宋体"/>
                <w:kern w:val="0"/>
                <w:sz w:val="30"/>
                <w:szCs w:val="24"/>
              </w:rPr>
            </w:pPr>
            <w:r>
              <w:rPr>
                <w:rFonts w:hint="eastAsia" w:ascii="仿宋" w:hAnsi="仿宋" w:cs="宋体"/>
                <w:kern w:val="0"/>
                <w:sz w:val="30"/>
                <w:szCs w:val="24"/>
              </w:rPr>
              <w:t>4</w:t>
            </w:r>
          </w:p>
        </w:tc>
        <w:tc>
          <w:tcPr>
            <w:tcW w:w="6699" w:type="dxa"/>
            <w:tcBorders>
              <w:top w:val="nil"/>
              <w:left w:val="nil"/>
              <w:bottom w:val="single" w:color="auto" w:sz="4" w:space="0"/>
              <w:right w:val="single" w:color="auto" w:sz="4" w:space="0"/>
            </w:tcBorders>
            <w:vAlign w:val="center"/>
          </w:tcPr>
          <w:p>
            <w:pPr>
              <w:widowControl/>
              <w:spacing w:line="360" w:lineRule="auto"/>
              <w:jc w:val="center"/>
              <w:rPr>
                <w:rFonts w:ascii="仿宋" w:hAnsi="仿宋" w:cs="宋体"/>
                <w:kern w:val="0"/>
                <w:sz w:val="30"/>
                <w:szCs w:val="24"/>
              </w:rPr>
            </w:pPr>
            <w:r>
              <w:rPr>
                <w:rFonts w:hint="eastAsia" w:ascii="仿宋" w:hAnsi="仿宋" w:cs="宋体"/>
                <w:kern w:val="0"/>
                <w:sz w:val="30"/>
                <w:szCs w:val="24"/>
              </w:rPr>
              <w:t>直线加速器 （含模拟定位机）</w:t>
            </w:r>
          </w:p>
        </w:tc>
      </w:tr>
      <w:tr>
        <w:tblPrEx>
          <w:tblCellMar>
            <w:top w:w="0" w:type="dxa"/>
            <w:left w:w="108" w:type="dxa"/>
            <w:bottom w:w="0" w:type="dxa"/>
            <w:right w:w="108" w:type="dxa"/>
          </w:tblCellMar>
        </w:tblPrEx>
        <w:trPr>
          <w:trHeight w:val="700" w:hRule="atLeast"/>
        </w:trPr>
        <w:tc>
          <w:tcPr>
            <w:tcW w:w="1965"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cs="宋体"/>
                <w:kern w:val="0"/>
                <w:sz w:val="30"/>
                <w:szCs w:val="24"/>
              </w:rPr>
            </w:pPr>
            <w:r>
              <w:rPr>
                <w:rFonts w:hint="eastAsia" w:ascii="仿宋" w:hAnsi="仿宋" w:cs="宋体"/>
                <w:kern w:val="0"/>
                <w:sz w:val="30"/>
                <w:szCs w:val="24"/>
              </w:rPr>
              <w:t>5</w:t>
            </w:r>
          </w:p>
        </w:tc>
        <w:tc>
          <w:tcPr>
            <w:tcW w:w="6699" w:type="dxa"/>
            <w:tcBorders>
              <w:top w:val="nil"/>
              <w:left w:val="nil"/>
              <w:bottom w:val="single" w:color="auto" w:sz="4" w:space="0"/>
              <w:right w:val="single" w:color="auto" w:sz="4" w:space="0"/>
            </w:tcBorders>
            <w:vAlign w:val="center"/>
          </w:tcPr>
          <w:p>
            <w:pPr>
              <w:widowControl/>
              <w:spacing w:line="360" w:lineRule="auto"/>
              <w:jc w:val="center"/>
              <w:rPr>
                <w:rFonts w:ascii="仿宋" w:hAnsi="仿宋" w:cs="宋体"/>
                <w:kern w:val="0"/>
                <w:sz w:val="30"/>
                <w:szCs w:val="24"/>
              </w:rPr>
            </w:pPr>
            <w:r>
              <w:rPr>
                <w:rFonts w:hint="eastAsia" w:ascii="仿宋" w:hAnsi="仿宋" w:cs="宋体"/>
                <w:kern w:val="0"/>
                <w:sz w:val="30"/>
                <w:szCs w:val="24"/>
              </w:rPr>
              <w:t>碘-131</w:t>
            </w:r>
          </w:p>
        </w:tc>
      </w:tr>
    </w:tbl>
    <w:p>
      <w:pPr>
        <w:autoSpaceDE w:val="0"/>
        <w:autoSpaceDN w:val="0"/>
        <w:adjustRightInd w:val="0"/>
        <w:spacing w:line="440" w:lineRule="exact"/>
        <w:ind w:firstLine="600" w:firstLineChars="200"/>
        <w:jc w:val="left"/>
        <w:rPr>
          <w:rFonts w:ascii="宋体" w:hAnsi="宋体" w:cs="宋体"/>
          <w:sz w:val="30"/>
          <w:szCs w:val="30"/>
          <w:lang w:val="zh-CN"/>
        </w:rPr>
      </w:pPr>
      <w:r>
        <w:rPr>
          <w:rFonts w:hint="eastAsia" w:ascii="宋体" w:hAnsi="宋体" w:cs="宋体"/>
          <w:sz w:val="30"/>
          <w:szCs w:val="30"/>
        </w:rPr>
        <w:t>2</w:t>
      </w:r>
      <w:r>
        <w:rPr>
          <w:rFonts w:hint="eastAsia" w:ascii="宋体" w:hAnsi="宋体" w:cs="宋体"/>
          <w:sz w:val="30"/>
          <w:szCs w:val="30"/>
          <w:lang w:val="zh-CN"/>
        </w:rPr>
        <w:t>、包别划分：本项目共</w:t>
      </w:r>
      <w:bookmarkStart w:id="1" w:name="OLE_LINK12"/>
      <w:bookmarkStart w:id="2" w:name="OLE_LINK13"/>
      <w:bookmarkStart w:id="3" w:name="OLE_LINK4"/>
      <w:bookmarkStart w:id="4" w:name="OLE_LINK7"/>
      <w:bookmarkStart w:id="5" w:name="OLE_LINK9"/>
      <w:bookmarkStart w:id="6" w:name="OLE_LINK6"/>
      <w:bookmarkStart w:id="7" w:name="OLE_LINK5"/>
      <w:bookmarkStart w:id="8" w:name="OLE_LINK3"/>
      <w:bookmarkStart w:id="9" w:name="OLE_LINK11"/>
      <w:bookmarkStart w:id="10" w:name="OLE_LINK10"/>
      <w:bookmarkStart w:id="11" w:name="OLE_LINK8"/>
      <w:r>
        <w:rPr>
          <w:rFonts w:hint="eastAsia" w:ascii="宋体" w:hAnsi="宋体" w:cs="宋体"/>
          <w:sz w:val="30"/>
          <w:szCs w:val="30"/>
        </w:rPr>
        <w:t>1</w:t>
      </w:r>
      <w:r>
        <w:rPr>
          <w:rFonts w:hint="eastAsia" w:ascii="宋体" w:hAnsi="宋体" w:cs="宋体"/>
          <w:sz w:val="30"/>
          <w:szCs w:val="30"/>
          <w:lang w:val="zh-CN"/>
        </w:rPr>
        <w:t>个包</w:t>
      </w:r>
      <w:bookmarkEnd w:id="1"/>
      <w:bookmarkEnd w:id="2"/>
      <w:bookmarkEnd w:id="3"/>
      <w:bookmarkEnd w:id="4"/>
      <w:bookmarkEnd w:id="5"/>
      <w:bookmarkEnd w:id="6"/>
      <w:bookmarkEnd w:id="7"/>
      <w:bookmarkEnd w:id="8"/>
      <w:bookmarkEnd w:id="9"/>
      <w:bookmarkEnd w:id="10"/>
      <w:bookmarkEnd w:id="11"/>
      <w:r>
        <w:rPr>
          <w:rFonts w:hint="eastAsia" w:ascii="宋体" w:hAnsi="宋体" w:cs="宋体"/>
          <w:sz w:val="30"/>
          <w:szCs w:val="30"/>
          <w:lang w:val="zh-CN"/>
        </w:rPr>
        <w:t>；</w:t>
      </w:r>
    </w:p>
    <w:p>
      <w:pPr>
        <w:autoSpaceDE w:val="0"/>
        <w:autoSpaceDN w:val="0"/>
        <w:adjustRightInd w:val="0"/>
        <w:spacing w:line="360" w:lineRule="auto"/>
        <w:ind w:firstLine="600" w:firstLineChars="200"/>
        <w:jc w:val="left"/>
        <w:rPr>
          <w:rFonts w:ascii="宋体" w:hAnsi="宋体" w:cs="宋体"/>
          <w:sz w:val="30"/>
          <w:szCs w:val="30"/>
        </w:rPr>
      </w:pPr>
      <w:r>
        <w:rPr>
          <w:rFonts w:hint="eastAsia" w:ascii="宋体" w:hAnsi="宋体" w:cs="宋体"/>
          <w:sz w:val="30"/>
          <w:szCs w:val="30"/>
          <w:lang w:val="zh-CN"/>
        </w:rPr>
        <w:t>招标范围：为医院提供</w:t>
      </w:r>
      <w:r>
        <w:rPr>
          <w:rFonts w:hint="eastAsia" w:ascii="宋体" w:hAnsi="宋体" w:cs="宋体"/>
          <w:sz w:val="30"/>
          <w:szCs w:val="30"/>
        </w:rPr>
        <w:t>设计平面图纸审核、竣工验收、职业病危害放射防护预防性评价、职业病危害放射防护控制效果评价、协助医院办理放射诊疗许可证等系列服务；</w:t>
      </w:r>
    </w:p>
    <w:p>
      <w:pPr>
        <w:widowControl/>
        <w:spacing w:line="360" w:lineRule="auto"/>
        <w:ind w:firstLine="600" w:firstLineChars="200"/>
        <w:jc w:val="left"/>
        <w:rPr>
          <w:rFonts w:ascii="宋体" w:hAnsi="宋体"/>
          <w:sz w:val="30"/>
          <w:szCs w:val="30"/>
        </w:rPr>
      </w:pPr>
      <w:r>
        <w:rPr>
          <w:rFonts w:hint="eastAsia" w:ascii="宋体" w:hAnsi="宋体"/>
          <w:sz w:val="30"/>
          <w:szCs w:val="30"/>
        </w:rPr>
        <w:t>3、投标人须具备职业病危害评价乙级及以上资质和甲级放射卫生技术服务机构资质（且资质中涵盖评价项目要求）。</w:t>
      </w:r>
    </w:p>
    <w:p>
      <w:pPr>
        <w:autoSpaceDE w:val="0"/>
        <w:autoSpaceDN w:val="0"/>
        <w:adjustRightInd w:val="0"/>
        <w:spacing w:line="360" w:lineRule="auto"/>
        <w:ind w:firstLine="600" w:firstLineChars="200"/>
        <w:jc w:val="left"/>
        <w:rPr>
          <w:rFonts w:ascii="宋体" w:hAnsi="宋体"/>
          <w:sz w:val="30"/>
          <w:szCs w:val="30"/>
        </w:rPr>
      </w:pPr>
      <w:r>
        <w:rPr>
          <w:rFonts w:hint="eastAsia" w:ascii="宋体" w:hAnsi="宋体"/>
          <w:sz w:val="30"/>
          <w:szCs w:val="30"/>
        </w:rPr>
        <w:t>注：本项目采用资格后审，接受联合体投标，联合体在提交报名材料时即应明确联合体投标主体，明确各联合体职责，一旦中标不允许分包。</w:t>
      </w:r>
    </w:p>
    <w:p>
      <w:pPr>
        <w:wordWrap w:val="0"/>
        <w:topLinePunct/>
        <w:spacing w:line="360" w:lineRule="auto"/>
        <w:rPr>
          <w:rFonts w:ascii="宋体" w:hAnsi="宋体"/>
          <w:sz w:val="30"/>
          <w:szCs w:val="30"/>
        </w:rPr>
      </w:pPr>
      <w:r>
        <w:rPr>
          <w:rFonts w:hint="eastAsia" w:ascii="宋体" w:hAnsi="宋体"/>
          <w:sz w:val="30"/>
          <w:szCs w:val="30"/>
        </w:rPr>
        <w:t>二、项目整体及技术相关要求：</w:t>
      </w:r>
    </w:p>
    <w:p>
      <w:pPr>
        <w:wordWrap w:val="0"/>
        <w:topLinePunct/>
        <w:spacing w:line="360" w:lineRule="auto"/>
        <w:ind w:firstLine="600" w:firstLineChars="200"/>
        <w:rPr>
          <w:rFonts w:ascii="宋体" w:hAnsi="宋体"/>
          <w:sz w:val="30"/>
          <w:szCs w:val="30"/>
        </w:rPr>
      </w:pPr>
      <w:r>
        <w:rPr>
          <w:rFonts w:hint="eastAsia" w:ascii="宋体" w:hAnsi="宋体"/>
          <w:sz w:val="30"/>
          <w:szCs w:val="30"/>
        </w:rPr>
        <w:t>1.设计平面图纸审核：委托相关专家对医院提供的该项目设计平面图纸，进行审核，使其符合国家要求，避免后期的整改。若因投标人审核不严格导致整改，责任及费用由投标人承担；</w:t>
      </w:r>
    </w:p>
    <w:p>
      <w:pPr>
        <w:wordWrap w:val="0"/>
        <w:topLinePunct/>
        <w:spacing w:line="360" w:lineRule="auto"/>
        <w:ind w:firstLine="600" w:firstLineChars="200"/>
        <w:rPr>
          <w:rFonts w:ascii="仿宋" w:hAnsi="仿宋" w:cs="宋体"/>
          <w:sz w:val="30"/>
          <w:szCs w:val="30"/>
        </w:rPr>
      </w:pPr>
      <w:r>
        <w:rPr>
          <w:rFonts w:hint="eastAsia" w:ascii="仿宋" w:hAnsi="仿宋" w:cs="宋体"/>
          <w:sz w:val="30"/>
          <w:szCs w:val="30"/>
        </w:rPr>
        <w:t>2、职业病危害放射防护预防性评价：医院提供相应材料后，20个工作日内编制职业病危害放射防护预防性评价报告并提交。提交后</w:t>
      </w:r>
      <w:r>
        <w:rPr>
          <w:rFonts w:ascii="仿宋" w:hAnsi="仿宋" w:cs="宋体"/>
          <w:sz w:val="30"/>
          <w:szCs w:val="30"/>
        </w:rPr>
        <w:t>50</w:t>
      </w:r>
      <w:r>
        <w:rPr>
          <w:rFonts w:hint="eastAsia" w:ascii="仿宋" w:hAnsi="仿宋" w:cs="宋体"/>
          <w:sz w:val="30"/>
          <w:szCs w:val="30"/>
        </w:rPr>
        <w:t>个工作日内通过评审并取得省级相关部门同意的批复文件（医院自身原因除外）；</w:t>
      </w:r>
    </w:p>
    <w:p>
      <w:pPr>
        <w:wordWrap w:val="0"/>
        <w:topLinePunct/>
        <w:spacing w:line="360" w:lineRule="auto"/>
        <w:ind w:firstLine="600" w:firstLineChars="200"/>
        <w:rPr>
          <w:rFonts w:ascii="仿宋" w:hAnsi="仿宋" w:cs="宋体"/>
          <w:sz w:val="30"/>
          <w:szCs w:val="30"/>
        </w:rPr>
      </w:pPr>
      <w:r>
        <w:rPr>
          <w:rFonts w:hint="eastAsia" w:ascii="仿宋" w:hAnsi="仿宋" w:cs="宋体"/>
          <w:sz w:val="30"/>
          <w:szCs w:val="30"/>
        </w:rPr>
        <w:t>3、职业病危害放射防护控制效果评价:医院提供相应材料后，20个工作日内编制职业病危害放射防护控制效果评价报告并提交。提交后</w:t>
      </w:r>
      <w:r>
        <w:rPr>
          <w:rFonts w:ascii="仿宋" w:hAnsi="仿宋" w:cs="宋体"/>
          <w:sz w:val="30"/>
          <w:szCs w:val="30"/>
        </w:rPr>
        <w:t>50</w:t>
      </w:r>
      <w:r>
        <w:rPr>
          <w:rFonts w:hint="eastAsia" w:ascii="仿宋" w:hAnsi="仿宋" w:cs="宋体"/>
          <w:sz w:val="30"/>
          <w:szCs w:val="30"/>
        </w:rPr>
        <w:t>个工作日内通过评审并取得省级相关部门同意的批复文件（医院自身原因除外）；</w:t>
      </w:r>
    </w:p>
    <w:p>
      <w:pPr>
        <w:wordWrap w:val="0"/>
        <w:topLinePunct/>
        <w:spacing w:line="360" w:lineRule="auto"/>
        <w:ind w:firstLine="600" w:firstLineChars="200"/>
        <w:rPr>
          <w:rFonts w:ascii="仿宋" w:hAnsi="仿宋" w:cs="宋体"/>
          <w:sz w:val="30"/>
          <w:szCs w:val="30"/>
        </w:rPr>
      </w:pPr>
      <w:r>
        <w:rPr>
          <w:rFonts w:hint="eastAsia" w:ascii="仿宋" w:hAnsi="仿宋" w:cs="宋体"/>
          <w:sz w:val="30"/>
          <w:szCs w:val="30"/>
        </w:rPr>
        <w:t>4、协助医院办理放射诊疗许可证；</w:t>
      </w:r>
    </w:p>
    <w:p>
      <w:pPr>
        <w:wordWrap w:val="0"/>
        <w:topLinePunct/>
        <w:spacing w:line="360" w:lineRule="auto"/>
        <w:ind w:firstLine="600" w:firstLineChars="200"/>
        <w:rPr>
          <w:rFonts w:ascii="仿宋" w:hAnsi="仿宋" w:cs="宋体"/>
          <w:sz w:val="30"/>
          <w:szCs w:val="30"/>
        </w:rPr>
      </w:pPr>
      <w:r>
        <w:rPr>
          <w:rFonts w:hint="eastAsia" w:ascii="仿宋" w:hAnsi="仿宋" w:cs="宋体"/>
          <w:sz w:val="30"/>
          <w:szCs w:val="30"/>
        </w:rPr>
        <w:t>5、投标单位须根据医院项目进度要求，提前告知医院应提供的证件、资料及时间，并协助医院整理相关材料；</w:t>
      </w:r>
    </w:p>
    <w:p>
      <w:pPr>
        <w:wordWrap w:val="0"/>
        <w:topLinePunct/>
        <w:spacing w:line="360" w:lineRule="auto"/>
        <w:ind w:firstLine="600" w:firstLineChars="200"/>
        <w:rPr>
          <w:rFonts w:ascii="宋体" w:hAnsi="宋体"/>
          <w:sz w:val="30"/>
          <w:szCs w:val="30"/>
        </w:rPr>
      </w:pPr>
      <w:r>
        <w:rPr>
          <w:rFonts w:hint="eastAsia" w:ascii="宋体" w:hAnsi="宋体"/>
          <w:sz w:val="30"/>
          <w:szCs w:val="30"/>
        </w:rPr>
        <w:t>6.须按照新院区建设进度开展对应项目工作，若各项目进展未能及时响应新院区建设，所须整改及改进费用由投标公司承担；</w:t>
      </w:r>
    </w:p>
    <w:p>
      <w:pPr>
        <w:wordWrap w:val="0"/>
        <w:topLinePunct/>
        <w:spacing w:line="360" w:lineRule="auto"/>
        <w:ind w:firstLine="600" w:firstLineChars="200"/>
        <w:rPr>
          <w:rFonts w:ascii="仿宋" w:hAnsi="仿宋" w:cs="宋体"/>
          <w:sz w:val="30"/>
          <w:szCs w:val="30"/>
        </w:rPr>
      </w:pPr>
      <w:r>
        <w:rPr>
          <w:rFonts w:hint="eastAsia" w:ascii="仿宋" w:hAnsi="仿宋" w:cs="宋体"/>
          <w:sz w:val="30"/>
          <w:szCs w:val="30"/>
        </w:rPr>
        <w:t>7、上述服务内容产生的所有费用均有中标人承担。</w:t>
      </w:r>
    </w:p>
    <w:p>
      <w:pPr>
        <w:spacing w:line="360" w:lineRule="auto"/>
        <w:rPr>
          <w:rFonts w:ascii="仿宋" w:hAnsi="仿宋" w:cs="宋体"/>
          <w:bCs/>
          <w:sz w:val="30"/>
          <w:szCs w:val="30"/>
        </w:rPr>
      </w:pPr>
      <w:r>
        <w:rPr>
          <w:rFonts w:hint="eastAsia" w:ascii="仿宋" w:hAnsi="仿宋" w:cs="宋体"/>
          <w:bCs/>
          <w:sz w:val="30"/>
          <w:szCs w:val="30"/>
        </w:rPr>
        <w:t>二、投标人资质要求</w:t>
      </w:r>
    </w:p>
    <w:p>
      <w:pPr>
        <w:pStyle w:val="5"/>
        <w:shd w:val="clear" w:color="auto" w:fill="FFFFFF"/>
        <w:spacing w:before="0" w:beforeAutospacing="0" w:after="0" w:afterAutospacing="0" w:line="360" w:lineRule="auto"/>
        <w:ind w:firstLine="480"/>
        <w:rPr>
          <w:sz w:val="30"/>
          <w:szCs w:val="30"/>
        </w:rPr>
      </w:pPr>
      <w:r>
        <w:rPr>
          <w:rFonts w:hint="eastAsia" w:ascii="仿宋" w:hAnsi="仿宋"/>
          <w:kern w:val="2"/>
          <w:sz w:val="30"/>
          <w:szCs w:val="30"/>
        </w:rPr>
        <w:t>1、</w:t>
      </w:r>
      <w:r>
        <w:rPr>
          <w:rFonts w:hint="eastAsia"/>
          <w:sz w:val="30"/>
          <w:szCs w:val="30"/>
        </w:rPr>
        <w:t>职业病危害评价乙级及以上资质、甲级放射卫生技术服务机构资质（且资质中涵盖评价项目要求）。</w:t>
      </w:r>
    </w:p>
    <w:p>
      <w:pPr>
        <w:pStyle w:val="5"/>
        <w:shd w:val="clear" w:color="auto" w:fill="FFFFFF"/>
        <w:spacing w:before="0" w:beforeAutospacing="0" w:after="0" w:afterAutospacing="0" w:line="360" w:lineRule="auto"/>
        <w:ind w:firstLine="480"/>
        <w:rPr>
          <w:rFonts w:ascii="仿宋" w:hAnsi="仿宋"/>
          <w:kern w:val="2"/>
          <w:sz w:val="30"/>
          <w:szCs w:val="30"/>
        </w:rPr>
      </w:pPr>
      <w:r>
        <w:rPr>
          <w:rFonts w:ascii="仿宋" w:hAnsi="仿宋"/>
          <w:kern w:val="2"/>
          <w:sz w:val="30"/>
          <w:szCs w:val="30"/>
        </w:rPr>
        <w:t>2</w:t>
      </w:r>
      <w:r>
        <w:rPr>
          <w:rFonts w:hint="eastAsia" w:ascii="仿宋" w:hAnsi="仿宋"/>
          <w:kern w:val="2"/>
          <w:sz w:val="30"/>
          <w:szCs w:val="30"/>
        </w:rPr>
        <w:t>、2人及以上具有高级工程师证书</w:t>
      </w:r>
      <w:bookmarkStart w:id="12" w:name="_GoBack"/>
      <w:bookmarkEnd w:id="12"/>
      <w:r>
        <w:rPr>
          <w:rFonts w:hint="eastAsia" w:ascii="仿宋" w:hAnsi="仿宋"/>
          <w:kern w:val="2"/>
          <w:sz w:val="30"/>
          <w:szCs w:val="30"/>
        </w:rPr>
        <w:t>，2人及以上具有中疾控核安所颁发的放射卫生检测与评价证书。</w:t>
      </w:r>
    </w:p>
    <w:p>
      <w:pPr>
        <w:pStyle w:val="5"/>
        <w:numPr>
          <w:ilvl w:val="0"/>
          <w:numId w:val="1"/>
        </w:numPr>
        <w:shd w:val="clear" w:color="auto" w:fill="FFFFFF"/>
        <w:spacing w:before="0" w:beforeAutospacing="0" w:after="0" w:afterAutospacing="0" w:line="360" w:lineRule="auto"/>
        <w:rPr>
          <w:rFonts w:ascii="仿宋" w:hAnsi="仿宋"/>
          <w:bCs/>
          <w:kern w:val="2"/>
          <w:sz w:val="30"/>
          <w:szCs w:val="30"/>
        </w:rPr>
      </w:pPr>
      <w:r>
        <w:rPr>
          <w:rFonts w:hint="eastAsia" w:ascii="仿宋" w:hAnsi="仿宋"/>
          <w:bCs/>
          <w:kern w:val="2"/>
          <w:sz w:val="30"/>
          <w:szCs w:val="30"/>
        </w:rPr>
        <w:t>付款方式</w:t>
      </w:r>
    </w:p>
    <w:p>
      <w:pPr>
        <w:pStyle w:val="5"/>
        <w:shd w:val="clear" w:color="auto" w:fill="FFFFFF"/>
        <w:spacing w:before="0" w:beforeAutospacing="0" w:after="0" w:afterAutospacing="0" w:line="360" w:lineRule="auto"/>
        <w:ind w:firstLine="300" w:firstLineChars="100"/>
        <w:rPr>
          <w:rFonts w:ascii="仿宋" w:hAnsi="仿宋"/>
          <w:kern w:val="2"/>
          <w:sz w:val="30"/>
          <w:szCs w:val="28"/>
        </w:rPr>
      </w:pPr>
      <w:r>
        <w:rPr>
          <w:rFonts w:hint="eastAsia" w:ascii="仿宋" w:hAnsi="仿宋"/>
          <w:kern w:val="2"/>
          <w:sz w:val="30"/>
          <w:szCs w:val="30"/>
        </w:rPr>
        <w:t>中标人完成预评、控评，取得所有证照后，支付1</w:t>
      </w:r>
      <w:r>
        <w:rPr>
          <w:rFonts w:ascii="仿宋" w:hAnsi="仿宋"/>
          <w:kern w:val="2"/>
          <w:sz w:val="30"/>
          <w:szCs w:val="30"/>
        </w:rPr>
        <w:t>00</w:t>
      </w:r>
      <w:r>
        <w:rPr>
          <w:rFonts w:hint="eastAsia" w:ascii="仿宋" w:hAnsi="仿宋"/>
          <w:kern w:val="2"/>
          <w:sz w:val="30"/>
          <w:szCs w:val="30"/>
        </w:rPr>
        <w:t>%服务费。</w:t>
      </w:r>
    </w:p>
    <w:sectPr>
      <w:pgSz w:w="11906" w:h="16838"/>
      <w:pgMar w:top="1440" w:right="14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A885D9"/>
    <w:multiLevelType w:val="singleLevel"/>
    <w:tmpl w:val="9EA885D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4204F"/>
    <w:rsid w:val="0044204F"/>
    <w:rsid w:val="007D1584"/>
    <w:rsid w:val="00851B81"/>
    <w:rsid w:val="00A10174"/>
    <w:rsid w:val="239E70E8"/>
    <w:rsid w:val="293D752E"/>
    <w:rsid w:val="3293761D"/>
    <w:rsid w:val="3EDE243B"/>
    <w:rsid w:val="61241304"/>
    <w:rsid w:val="734239CA"/>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paragraph" w:customStyle="1" w:styleId="8">
    <w:name w:val="列出段落1"/>
    <w:basedOn w:val="1"/>
    <w:link w:val="9"/>
    <w:qFormat/>
    <w:uiPriority w:val="0"/>
    <w:pPr>
      <w:ind w:firstLine="420" w:firstLineChars="200"/>
    </w:pPr>
    <w:rPr>
      <w:kern w:val="0"/>
      <w:sz w:val="28"/>
    </w:rPr>
  </w:style>
  <w:style w:type="character" w:customStyle="1" w:styleId="9">
    <w:name w:val="列出段落 Char Char"/>
    <w:link w:val="8"/>
    <w:uiPriority w:val="0"/>
    <w:rPr>
      <w:sz w:val="28"/>
    </w:rPr>
  </w:style>
  <w:style w:type="character" w:customStyle="1" w:styleId="10">
    <w:name w:val="页眉 Char"/>
    <w:basedOn w:val="7"/>
    <w:link w:val="4"/>
    <w:qFormat/>
    <w:uiPriority w:val="99"/>
    <w:rPr>
      <w:rFonts w:ascii="Times New Roman" w:hAnsi="Times New Roman" w:eastAsia="宋体" w:cs="Times New Roman"/>
      <w:sz w:val="18"/>
      <w:szCs w:val="18"/>
    </w:rPr>
  </w:style>
  <w:style w:type="character" w:customStyle="1" w:styleId="11">
    <w:name w:val="页脚 Char"/>
    <w:basedOn w:val="7"/>
    <w:link w:val="3"/>
    <w:uiPriority w:val="99"/>
    <w:rPr>
      <w:rFonts w:ascii="Times New Roman" w:hAnsi="Times New Roman" w:eastAsia="宋体" w:cs="Times New Roman"/>
      <w:sz w:val="18"/>
      <w:szCs w:val="18"/>
    </w:rPr>
  </w:style>
  <w:style w:type="character" w:customStyle="1" w:styleId="12">
    <w:name w:val="批注框文本 Char"/>
    <w:basedOn w:val="7"/>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141</Words>
  <Characters>805</Characters>
  <Lines>6</Lines>
  <Paragraphs>1</Paragraphs>
  <TotalTime>24</TotalTime>
  <ScaleCrop>false</ScaleCrop>
  <LinksUpToDate>false</LinksUpToDate>
  <CharactersWithSpaces>945</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2019-12-09T09:29:00Z</dcterms:created>
  <dc:creator>万 星人</dc:creator>
  <cp:lastModifiedBy>倪志豪</cp:lastModifiedBy>
  <cp:lastPrinted>2020-07-30T03:19:46Z</cp:lastPrinted>
  <dcterms:modified xsi:type="dcterms:W3CDTF">2020-07-30T03:22:12Z</dcterms:modified>
  <dc:title>  秀山医院放疗及核医学设备预评、控评服务要求</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