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2"/>
          <w:numId w:val="0"/>
        </w:numPr>
        <w:jc w:val="center"/>
      </w:pPr>
      <w:r>
        <w:rPr>
          <w:rFonts w:hint="eastAsia"/>
          <w:lang w:val="en-US" w:eastAsia="zh-CN"/>
        </w:rPr>
        <w:t>马鞍山市</w:t>
      </w:r>
      <w:r>
        <w:rPr>
          <w:rFonts w:hint="eastAsia"/>
        </w:rPr>
        <w:t>人民医院钉钉</w:t>
      </w:r>
      <w:r>
        <w:rPr>
          <w:rFonts w:hint="eastAsia"/>
          <w:lang w:val="en-US" w:eastAsia="zh-CN"/>
        </w:rPr>
        <w:t>部署</w:t>
      </w:r>
      <w:r>
        <w:rPr>
          <w:rFonts w:hint="eastAsia"/>
        </w:rPr>
        <w:t>服务采购需求</w:t>
      </w:r>
    </w:p>
    <w:p>
      <w:pPr>
        <w:spacing w:line="560" w:lineRule="exact"/>
        <w:jc w:val="center"/>
        <w:rPr>
          <w:sz w:val="28"/>
          <w:szCs w:val="36"/>
        </w:rPr>
      </w:pPr>
      <w:bookmarkStart w:id="0" w:name="_Toc14546"/>
      <w:r>
        <w:rPr>
          <w:rFonts w:hint="eastAsia" w:ascii="宋体" w:hAnsi="宋体"/>
          <w:b/>
          <w:sz w:val="32"/>
          <w:szCs w:val="28"/>
        </w:rPr>
        <w:t xml:space="preserve">一、项目概况 </w:t>
      </w:r>
    </w:p>
    <w:p>
      <w:pPr>
        <w:spacing w:line="560" w:lineRule="exact"/>
        <w:ind w:firstLine="560" w:firstLineChars="200"/>
        <w:rPr>
          <w:rFonts w:hint="eastAsia"/>
          <w:sz w:val="28"/>
          <w:szCs w:val="36"/>
        </w:rPr>
      </w:pPr>
      <w:r>
        <w:rPr>
          <w:rFonts w:hint="eastAsia"/>
          <w:sz w:val="28"/>
          <w:szCs w:val="36"/>
        </w:rPr>
        <w:t>马鞍山市人民医院目前设有17个职能科室、14个医技科室、36个临床专业科室，在岗职工1660人。为充分利用碎片化时间处理办公事务，提供工作效率，实现无纸化办公，我院拟全院使用钉钉，通过钉钉实现考勤、</w:t>
      </w:r>
      <w:r>
        <w:rPr>
          <w:rFonts w:hint="eastAsia"/>
          <w:sz w:val="28"/>
          <w:szCs w:val="36"/>
          <w:lang w:val="en-US" w:eastAsia="zh-CN"/>
        </w:rPr>
        <w:t>各类</w:t>
      </w:r>
      <w:r>
        <w:rPr>
          <w:rFonts w:hint="eastAsia"/>
          <w:sz w:val="28"/>
          <w:szCs w:val="36"/>
        </w:rPr>
        <w:t>审批流程、</w:t>
      </w:r>
      <w:r>
        <w:rPr>
          <w:rFonts w:hint="eastAsia"/>
          <w:sz w:val="28"/>
          <w:szCs w:val="36"/>
          <w:lang w:val="en-US" w:eastAsia="zh-CN"/>
        </w:rPr>
        <w:t>OA</w:t>
      </w:r>
      <w:r>
        <w:rPr>
          <w:rFonts w:hint="eastAsia"/>
          <w:sz w:val="28"/>
          <w:szCs w:val="36"/>
        </w:rPr>
        <w:t>办公公文收发、会议管理等办公需求。</w:t>
      </w:r>
      <w:r>
        <w:rPr>
          <w:rFonts w:hint="eastAsia"/>
          <w:sz w:val="28"/>
          <w:szCs w:val="36"/>
          <w:lang w:val="en-US" w:eastAsia="zh-CN"/>
        </w:rPr>
        <w:t>实现钉钉内网安全部署，主要用于内网及时沟通</w:t>
      </w:r>
      <w:r>
        <w:rPr>
          <w:rFonts w:hint="eastAsia"/>
          <w:sz w:val="28"/>
          <w:szCs w:val="36"/>
        </w:rPr>
        <w:t>。</w:t>
      </w:r>
    </w:p>
    <w:p>
      <w:pPr>
        <w:spacing w:line="560" w:lineRule="exact"/>
        <w:ind w:firstLine="560" w:firstLineChars="200"/>
        <w:rPr>
          <w:sz w:val="28"/>
          <w:szCs w:val="36"/>
        </w:rPr>
      </w:pPr>
      <w:bookmarkStart w:id="1" w:name="_GoBack"/>
      <w:bookmarkEnd w:id="1"/>
    </w:p>
    <w:bookmarkEnd w:id="0"/>
    <w:p>
      <w:pPr>
        <w:pStyle w:val="5"/>
        <w:numPr>
          <w:ilvl w:val="2"/>
          <w:numId w:val="0"/>
        </w:numPr>
        <w:jc w:val="center"/>
        <w:rPr>
          <w:rFonts w:ascii="宋体" w:hAnsi="宋体"/>
          <w:szCs w:val="28"/>
        </w:rPr>
      </w:pPr>
      <w:r>
        <w:rPr>
          <w:rFonts w:hint="eastAsia" w:ascii="宋体" w:hAnsi="宋体"/>
          <w:szCs w:val="28"/>
        </w:rPr>
        <w:t>二、技术要求功能需求如下</w:t>
      </w:r>
    </w:p>
    <w:tbl>
      <w:tblPr>
        <w:tblStyle w:val="8"/>
        <w:tblW w:w="8308" w:type="dxa"/>
        <w:tblInd w:w="0" w:type="dxa"/>
        <w:tblLayout w:type="fixed"/>
        <w:tblCellMar>
          <w:top w:w="0" w:type="dxa"/>
          <w:left w:w="0" w:type="dxa"/>
          <w:bottom w:w="0" w:type="dxa"/>
          <w:right w:w="0" w:type="dxa"/>
        </w:tblCellMar>
      </w:tblPr>
      <w:tblGrid>
        <w:gridCol w:w="476"/>
        <w:gridCol w:w="942"/>
        <w:gridCol w:w="4930"/>
        <w:gridCol w:w="650"/>
        <w:gridCol w:w="640"/>
        <w:gridCol w:w="670"/>
      </w:tblGrid>
      <w:tr>
        <w:tblPrEx>
          <w:tblCellMar>
            <w:top w:w="0" w:type="dxa"/>
            <w:left w:w="0" w:type="dxa"/>
            <w:bottom w:w="0" w:type="dxa"/>
            <w:right w:w="0" w:type="dxa"/>
          </w:tblCellMar>
        </w:tblPrEx>
        <w:trPr>
          <w:trHeight w:val="499"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b/>
                <w:bCs/>
                <w:color w:val="000000"/>
                <w:kern w:val="0"/>
                <w:szCs w:val="21"/>
              </w:rPr>
              <w:t>序号</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Cs w:val="21"/>
              </w:rPr>
            </w:pPr>
            <w:r>
              <w:rPr>
                <w:rFonts w:hint="eastAsia" w:asciiTheme="minorEastAsia" w:hAnsiTheme="minorEastAsia" w:cstheme="minorEastAsia"/>
                <w:b/>
                <w:color w:val="000000"/>
                <w:kern w:val="0"/>
                <w:szCs w:val="21"/>
              </w:rPr>
              <w:t>名称</w:t>
            </w:r>
          </w:p>
        </w:tc>
        <w:tc>
          <w:tcPr>
            <w:tcW w:w="49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Theme="minorEastAsia" w:hAnsiTheme="minorEastAsia" w:cstheme="minorEastAsia"/>
                <w:b/>
                <w:color w:val="000000"/>
                <w:szCs w:val="21"/>
              </w:rPr>
            </w:pPr>
            <w:r>
              <w:rPr>
                <w:rFonts w:hint="eastAsia" w:asciiTheme="minorEastAsia" w:hAnsiTheme="minorEastAsia" w:cstheme="minorEastAsia"/>
                <w:b/>
                <w:color w:val="000000"/>
                <w:kern w:val="0"/>
                <w:szCs w:val="21"/>
              </w:rPr>
              <w:t>规格</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Cs w:val="21"/>
              </w:rPr>
            </w:pPr>
            <w:r>
              <w:rPr>
                <w:rFonts w:hint="eastAsia" w:asciiTheme="minorEastAsia" w:hAnsiTheme="minorEastAsia" w:cstheme="minorEastAsia"/>
                <w:b/>
                <w:color w:val="000000"/>
                <w:kern w:val="0"/>
                <w:szCs w:val="21"/>
              </w:rPr>
              <w:t>数量</w:t>
            </w: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Cs w:val="21"/>
              </w:rPr>
            </w:pPr>
            <w:r>
              <w:rPr>
                <w:rFonts w:hint="eastAsia" w:asciiTheme="minorEastAsia" w:hAnsiTheme="minorEastAsia" w:cstheme="minorEastAsia"/>
                <w:b/>
                <w:color w:val="000000"/>
                <w:kern w:val="0"/>
                <w:szCs w:val="21"/>
              </w:rPr>
              <w:t>单位</w:t>
            </w:r>
          </w:p>
        </w:tc>
        <w:tc>
          <w:tcPr>
            <w:tcW w:w="67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b/>
                <w:bCs/>
                <w:color w:val="000000"/>
                <w:kern w:val="0"/>
                <w:szCs w:val="21"/>
              </w:rPr>
              <w:t>备注</w:t>
            </w:r>
          </w:p>
        </w:tc>
      </w:tr>
      <w:tr>
        <w:tblPrEx>
          <w:tblCellMar>
            <w:top w:w="0" w:type="dxa"/>
            <w:left w:w="0" w:type="dxa"/>
            <w:bottom w:w="0" w:type="dxa"/>
            <w:right w:w="0" w:type="dxa"/>
          </w:tblCellMar>
        </w:tblPrEx>
        <w:trPr>
          <w:trHeight w:val="225"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rPr>
              <w:t>1</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left"/>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钉钉服务包</w:t>
            </w:r>
          </w:p>
        </w:tc>
        <w:tc>
          <w:tcPr>
            <w:tcW w:w="4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0"/>
              <w:widowControl/>
              <w:numPr>
                <w:ilvl w:val="0"/>
                <w:numId w:val="2"/>
              </w:numPr>
              <w:spacing w:line="240" w:lineRule="exact"/>
              <w:ind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需求对接-客户需求对接和流程商讨</w:t>
            </w:r>
          </w:p>
          <w:p>
            <w:pPr>
              <w:pStyle w:val="2"/>
              <w:numPr>
                <w:ilvl w:val="0"/>
                <w:numId w:val="2"/>
              </w:numPr>
              <w:rPr>
                <w:rFonts w:ascii="宋体" w:hAnsi="宋体" w:eastAsia="宋体"/>
                <w:b w:val="0"/>
                <w:sz w:val="18"/>
                <w:szCs w:val="18"/>
              </w:rPr>
            </w:pPr>
            <w:r>
              <w:rPr>
                <w:rFonts w:hint="eastAsia" w:ascii="宋体" w:hAnsi="宋体" w:eastAsia="宋体"/>
                <w:b w:val="0"/>
                <w:sz w:val="18"/>
                <w:szCs w:val="18"/>
              </w:rPr>
              <w:t>需求调研-就可场景进行需求调研</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方案确认-贴合需求提供方案并确认</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组织架构及人员信息梳理</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搭建组织架构和角色设置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考勤组规则梳理及配置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签到规则梳理及配置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日志规则梳理及配置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单项审批表单梳理及配置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单项审批流程梳理及配置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智能人事（基础）-员工花名册梳理及配置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智能人事（基础）-人员入离调转流程搭建配置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智能人事（基础）-人员入离调转表单搭建配置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智能工资条配置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智能办公电话辅助配置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钉邮辅助配置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钉盘辅助配置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智能机器人配置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企业主页配置</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实施效果报告</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实施操作流程</w:t>
            </w:r>
          </w:p>
          <w:p>
            <w:pPr>
              <w:pStyle w:val="2"/>
              <w:numPr>
                <w:ilvl w:val="0"/>
                <w:numId w:val="2"/>
              </w:numPr>
              <w:rPr>
                <w:rFonts w:ascii="宋体" w:hAnsi="宋体" w:eastAsia="宋体"/>
                <w:b w:val="0"/>
                <w:sz w:val="18"/>
                <w:szCs w:val="18"/>
              </w:rPr>
            </w:pPr>
            <w:r>
              <w:rPr>
                <w:rFonts w:hint="eastAsia" w:ascii="宋体" w:hAnsi="宋体" w:eastAsia="宋体" w:cs="宋体"/>
                <w:b w:val="0"/>
                <w:color w:val="000000"/>
                <w:kern w:val="0"/>
                <w:sz w:val="18"/>
                <w:szCs w:val="18"/>
              </w:rPr>
              <w:t>交付项全员宣导</w:t>
            </w:r>
          </w:p>
          <w:p>
            <w:pPr>
              <w:pStyle w:val="2"/>
              <w:rPr>
                <w:rFonts w:ascii="宋体" w:hAnsi="宋体" w:eastAsia="宋体"/>
                <w:b w:val="0"/>
                <w:sz w:val="18"/>
                <w:szCs w:val="18"/>
              </w:rPr>
            </w:pPr>
            <w:r>
              <w:rPr>
                <w:rFonts w:hint="eastAsia" w:ascii="宋体" w:hAnsi="宋体" w:eastAsia="宋体"/>
                <w:b w:val="0"/>
                <w:sz w:val="18"/>
                <w:szCs w:val="18"/>
              </w:rPr>
              <w:t>钉钉服务包包含以上所有内容，总交付项</w:t>
            </w:r>
            <w:r>
              <w:rPr>
                <w:rFonts w:hint="eastAsia" w:ascii="宋体" w:hAnsi="宋体" w:eastAsia="宋体"/>
                <w:b w:val="0"/>
                <w:sz w:val="18"/>
                <w:szCs w:val="18"/>
                <w:lang w:val="en-US" w:eastAsia="zh-CN"/>
              </w:rPr>
              <w:t>不少于</w:t>
            </w:r>
            <w:r>
              <w:rPr>
                <w:rFonts w:hint="eastAsia" w:ascii="宋体" w:hAnsi="宋体" w:eastAsia="宋体"/>
                <w:b w:val="0"/>
                <w:sz w:val="18"/>
                <w:szCs w:val="18"/>
              </w:rPr>
              <w:t>70个，可按实际需求进行调整，服务期限1年。</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rPr>
              <w:t>1</w:t>
            </w: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hint="eastAsia" w:asciiTheme="minorEastAsia" w:hAnsiTheme="minorEastAsia" w:eastAsiaTheme="minorEastAsia" w:cstheme="minorEastAsia"/>
                <w:color w:val="000000"/>
                <w:szCs w:val="21"/>
                <w:lang w:eastAsia="zh-CN"/>
              </w:rPr>
            </w:pPr>
            <w:r>
              <w:rPr>
                <w:rFonts w:hint="eastAsia" w:asciiTheme="minorEastAsia" w:hAnsiTheme="minorEastAsia" w:cstheme="minorEastAsia"/>
                <w:color w:val="000000"/>
                <w:szCs w:val="21"/>
                <w:lang w:val="en-US" w:eastAsia="zh-CN"/>
              </w:rPr>
              <w:t>项</w:t>
            </w:r>
          </w:p>
        </w:tc>
        <w:tc>
          <w:tcPr>
            <w:tcW w:w="67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szCs w:val="21"/>
              </w:rPr>
            </w:pPr>
          </w:p>
        </w:tc>
      </w:tr>
      <w:tr>
        <w:tblPrEx>
          <w:tblCellMar>
            <w:top w:w="0" w:type="dxa"/>
            <w:left w:w="0" w:type="dxa"/>
            <w:bottom w:w="0" w:type="dxa"/>
            <w:right w:w="0" w:type="dxa"/>
          </w:tblCellMar>
        </w:tblPrEx>
        <w:trPr>
          <w:trHeight w:val="285" w:hRule="atLeast"/>
        </w:trPr>
        <w:tc>
          <w:tcPr>
            <w:tcW w:w="4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w:t>
            </w:r>
          </w:p>
        </w:tc>
        <w:tc>
          <w:tcPr>
            <w:tcW w:w="94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钉钉公文收发应用</w:t>
            </w:r>
          </w:p>
        </w:tc>
        <w:tc>
          <w:tcPr>
            <w:tcW w:w="493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PC端可以发起发文和收文流程</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PC端可以展示所有待办公文流程列表并进行办理，支持批量通过</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PC端可以展示所有待阅公文流程，支持批量阅件</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PC端可以展示所有我办理过的公文流程列表，支持撤销</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PC端可以展示所有我批阅过的公文流程列表</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PC端可以展示所有我申请的公文流程列表，支持取消和催办，已结束流程可再次发起</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PC端可以查看我办理过公文中已分发和未发分的公文列表，已分发公文支持再次分发和撤回</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PC端可以展示我保存至草稿箱的公文，支持批量删除和批量提交</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PC端可以展示所有我的收文，未读收文支持批量已读</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PC端可以查看单位每天发文和收文趋势，支持自定义时间搜索</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PC端可以查看组织和人员的发文量统计，支持自定义时间搜索</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PC端可以查看组织和人员的收文量统计，支持自定义时间搜索</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PC端可以查看所有分发公文的阅读情况统计</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PC端可以展示所有发文和收文列表，支持多条件搜索，管理员可干预办理中的流程，已结束流程可修改表单信息；支持导出和公文归档</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PC端可以自定义修改公文基础字段配置信息</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PC端可以配置分发单位、文号代字、模板管理、标签管理、签章管理、发文序号</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PC端可以配置流水号、来文单位、收文序号</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PC端可以新建收发文流程，配置PC端和移动端公文表单样式，设置审批流转逻辑和审批参数等</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手机端可以发起发文和收文</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手机端可以查看所有收文和未读收文</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手机端可以查看组织和人员的发文量、收文量统计，支持自定义时间搜索；可查看所有已分发公文的阅读情况统计</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手机端可以查询所有发文和收文，支持多条件筛选；管理员可干预办理中的流程</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手机端可以查看各栏目下的信息，支持移动端发布信息；可定时发布、审批发布</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手机端可以展示所有保存至草稿的信息，可删除或再次发布</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手机端可以展示所有保存至草稿的信息，可删除或再次发布</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手机端可以展示所有发布的信息，支持多条件筛选</w:t>
            </w:r>
            <w:r>
              <w:rPr>
                <w:rFonts w:hint="eastAsia" w:ascii="宋体" w:hAnsi="宋体" w:eastAsia="宋体"/>
                <w:sz w:val="18"/>
                <w:szCs w:val="18"/>
                <w:lang w:eastAsia="zh-CN"/>
              </w:rPr>
              <w:t>；</w:t>
            </w:r>
          </w:p>
          <w:p>
            <w:pPr>
              <w:pStyle w:val="10"/>
              <w:widowControl/>
              <w:numPr>
                <w:ilvl w:val="0"/>
                <w:numId w:val="3"/>
              </w:numPr>
              <w:spacing w:line="240" w:lineRule="exact"/>
              <w:ind w:firstLineChars="0"/>
              <w:jc w:val="left"/>
              <w:textAlignment w:val="center"/>
              <w:rPr>
                <w:rFonts w:ascii="宋体" w:hAnsi="宋体" w:eastAsia="宋体" w:cstheme="minorEastAsia"/>
                <w:color w:val="000000"/>
                <w:sz w:val="18"/>
                <w:szCs w:val="18"/>
              </w:rPr>
            </w:pPr>
            <w:r>
              <w:rPr>
                <w:rFonts w:hint="eastAsia" w:ascii="宋体" w:hAnsi="宋体" w:eastAsia="宋体"/>
                <w:sz w:val="18"/>
                <w:szCs w:val="18"/>
              </w:rPr>
              <w:t>手机端可以查看组织和人员的信息发布量、精华量，支持自定义时间搜索；可查看各栏目的信息发布统计</w:t>
            </w:r>
            <w:r>
              <w:rPr>
                <w:rFonts w:hint="eastAsia" w:ascii="宋体" w:hAnsi="宋体" w:eastAsia="宋体"/>
                <w:sz w:val="18"/>
                <w:szCs w:val="18"/>
                <w:lang w:eastAsia="zh-CN"/>
              </w:rPr>
              <w:t>；</w:t>
            </w:r>
          </w:p>
          <w:p>
            <w:pPr>
              <w:widowControl/>
              <w:spacing w:line="240" w:lineRule="exact"/>
              <w:jc w:val="left"/>
              <w:textAlignment w:val="center"/>
              <w:rPr>
                <w:rFonts w:ascii="宋体" w:hAnsi="宋体" w:eastAsia="宋体" w:cstheme="minorEastAsia"/>
                <w:color w:val="000000"/>
                <w:sz w:val="18"/>
                <w:szCs w:val="18"/>
              </w:rPr>
            </w:pPr>
            <w:r>
              <w:rPr>
                <w:rFonts w:hint="eastAsia" w:ascii="宋体" w:hAnsi="宋体" w:eastAsia="宋体" w:cstheme="minorEastAsia"/>
                <w:color w:val="000000"/>
                <w:sz w:val="18"/>
                <w:szCs w:val="18"/>
              </w:rPr>
              <w:t>钉钉公文收发应用服务期为1年。</w:t>
            </w:r>
          </w:p>
        </w:tc>
        <w:tc>
          <w:tcPr>
            <w:tcW w:w="6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1</w:t>
            </w:r>
          </w:p>
        </w:tc>
        <w:tc>
          <w:tcPr>
            <w:tcW w:w="6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套</w:t>
            </w:r>
          </w:p>
        </w:tc>
        <w:tc>
          <w:tcPr>
            <w:tcW w:w="6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rPr>
                <w:rFonts w:asciiTheme="minorEastAsia" w:hAnsiTheme="minorEastAsia" w:cstheme="minorEastAsia"/>
                <w:color w:val="000000"/>
                <w:szCs w:val="21"/>
              </w:rPr>
            </w:pPr>
          </w:p>
        </w:tc>
      </w:tr>
      <w:tr>
        <w:tblPrEx>
          <w:tblCellMar>
            <w:top w:w="0" w:type="dxa"/>
            <w:left w:w="0" w:type="dxa"/>
            <w:bottom w:w="0" w:type="dxa"/>
            <w:right w:w="0" w:type="dxa"/>
          </w:tblCellMar>
        </w:tblPrEx>
        <w:trPr>
          <w:trHeight w:val="285" w:hRule="atLeast"/>
        </w:trPr>
        <w:tc>
          <w:tcPr>
            <w:tcW w:w="4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szCs w:val="21"/>
              </w:rPr>
              <w:t>3</w:t>
            </w:r>
          </w:p>
        </w:tc>
        <w:tc>
          <w:tcPr>
            <w:tcW w:w="94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DING通知条数</w:t>
            </w:r>
          </w:p>
        </w:tc>
        <w:tc>
          <w:tcPr>
            <w:tcW w:w="493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Theme="minorEastAsia" w:hAnsiTheme="minorEastAsia" w:cstheme="minorEastAsia"/>
                <w:color w:val="000000"/>
                <w:szCs w:val="21"/>
              </w:rPr>
            </w:pPr>
            <w:r>
              <w:rPr>
                <w:rFonts w:hint="eastAsia" w:asciiTheme="minorEastAsia" w:hAnsiTheme="minorEastAsia" w:cstheme="minorEastAsia"/>
                <w:color w:val="000000"/>
                <w:szCs w:val="21"/>
              </w:rPr>
              <w:t>1</w:t>
            </w:r>
            <w:r>
              <w:rPr>
                <w:rFonts w:asciiTheme="minorEastAsia" w:hAnsiTheme="minorEastAsia" w:cstheme="minorEastAsia"/>
                <w:color w:val="000000"/>
                <w:szCs w:val="21"/>
              </w:rPr>
              <w:t>.</w:t>
            </w:r>
            <w:r>
              <w:rPr>
                <w:rFonts w:hint="eastAsia" w:asciiTheme="minorEastAsia" w:hAnsiTheme="minorEastAsia" w:cstheme="minorEastAsia"/>
                <w:color w:val="000000"/>
                <w:szCs w:val="21"/>
              </w:rPr>
              <w:t>短信/电话DING通知条数</w:t>
            </w:r>
          </w:p>
        </w:tc>
        <w:tc>
          <w:tcPr>
            <w:tcW w:w="6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lang w:val="en-US" w:eastAsia="zh-CN"/>
              </w:rPr>
              <w:t>4</w:t>
            </w:r>
            <w:r>
              <w:rPr>
                <w:rFonts w:hint="eastAsia" w:asciiTheme="minorEastAsia" w:hAnsiTheme="minorEastAsia" w:cstheme="minorEastAsia"/>
                <w:color w:val="000000"/>
                <w:kern w:val="0"/>
                <w:szCs w:val="21"/>
              </w:rPr>
              <w:t>0000</w:t>
            </w:r>
          </w:p>
        </w:tc>
        <w:tc>
          <w:tcPr>
            <w:tcW w:w="6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ind w:firstLine="210" w:firstLineChars="100"/>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条</w:t>
            </w:r>
          </w:p>
        </w:tc>
        <w:tc>
          <w:tcPr>
            <w:tcW w:w="6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rPr>
                <w:rFonts w:asciiTheme="minorEastAsia" w:hAnsiTheme="minorEastAsia" w:cstheme="minorEastAsia"/>
                <w:color w:val="000000"/>
                <w:szCs w:val="21"/>
              </w:rPr>
            </w:pPr>
          </w:p>
        </w:tc>
      </w:tr>
      <w:tr>
        <w:tblPrEx>
          <w:tblCellMar>
            <w:top w:w="0" w:type="dxa"/>
            <w:left w:w="0" w:type="dxa"/>
            <w:bottom w:w="0" w:type="dxa"/>
            <w:right w:w="0" w:type="dxa"/>
          </w:tblCellMar>
        </w:tblPrEx>
        <w:trPr>
          <w:trHeight w:val="285" w:hRule="atLeast"/>
        </w:trPr>
        <w:tc>
          <w:tcPr>
            <w:tcW w:w="4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szCs w:val="21"/>
              </w:rPr>
              <w:t>4</w:t>
            </w:r>
          </w:p>
        </w:tc>
        <w:tc>
          <w:tcPr>
            <w:tcW w:w="94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left"/>
              <w:textAlignment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cstheme="minorEastAsia"/>
                <w:color w:val="000000"/>
                <w:kern w:val="0"/>
                <w:szCs w:val="21"/>
                <w:lang w:val="en-US" w:eastAsia="zh-CN"/>
              </w:rPr>
              <w:t>钉钉内网安全部署</w:t>
            </w:r>
          </w:p>
        </w:tc>
        <w:tc>
          <w:tcPr>
            <w:tcW w:w="493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0"/>
              <w:widowControl/>
              <w:numPr>
                <w:ilvl w:val="0"/>
                <w:numId w:val="0"/>
              </w:numPr>
              <w:spacing w:line="240" w:lineRule="exact"/>
              <w:ind w:leftChars="0"/>
              <w:jc w:val="left"/>
              <w:textAlignment w:val="center"/>
              <w:rPr>
                <w:rFonts w:hint="eastAsia" w:ascii="宋体" w:hAnsi="宋体" w:eastAsia="宋体" w:cstheme="minorEastAsia"/>
                <w:color w:val="000000"/>
                <w:sz w:val="18"/>
                <w:szCs w:val="18"/>
                <w:lang w:val="en-US" w:eastAsia="zh-CN"/>
              </w:rPr>
            </w:pPr>
            <w:r>
              <w:rPr>
                <w:rFonts w:ascii="宋体" w:hAnsi="宋体" w:eastAsia="宋体" w:cstheme="minorEastAsia"/>
                <w:color w:val="000000"/>
                <w:sz w:val="18"/>
                <w:szCs w:val="18"/>
              </w:rPr>
              <w:t>1.</w:t>
            </w:r>
            <w:r>
              <w:rPr>
                <w:rFonts w:hint="eastAsia" w:ascii="宋体" w:hAnsi="宋体" w:eastAsia="宋体" w:cstheme="minorEastAsia"/>
                <w:color w:val="000000"/>
                <w:sz w:val="18"/>
                <w:szCs w:val="18"/>
              </w:rPr>
              <w:t>5</w:t>
            </w:r>
            <w:r>
              <w:rPr>
                <w:rFonts w:ascii="宋体" w:hAnsi="宋体" w:eastAsia="宋体" w:cstheme="minorEastAsia"/>
                <w:color w:val="000000"/>
                <w:sz w:val="18"/>
                <w:szCs w:val="18"/>
              </w:rPr>
              <w:t>0</w:t>
            </w:r>
            <w:r>
              <w:rPr>
                <w:rFonts w:hint="eastAsia" w:ascii="宋体" w:hAnsi="宋体" w:eastAsia="宋体" w:cstheme="minorEastAsia"/>
                <w:color w:val="000000"/>
                <w:sz w:val="18"/>
                <w:szCs w:val="18"/>
              </w:rPr>
              <w:t>M</w:t>
            </w:r>
            <w:r>
              <w:rPr>
                <w:rFonts w:hint="eastAsia" w:ascii="宋体" w:hAnsi="宋体" w:eastAsia="宋体" w:cstheme="minorEastAsia"/>
                <w:color w:val="000000"/>
                <w:sz w:val="18"/>
                <w:szCs w:val="18"/>
                <w:lang w:val="en-US" w:eastAsia="zh-CN"/>
              </w:rPr>
              <w:t>互联网</w:t>
            </w:r>
            <w:r>
              <w:rPr>
                <w:rFonts w:hint="eastAsia" w:ascii="宋体" w:hAnsi="宋体" w:eastAsia="宋体" w:cstheme="minorEastAsia"/>
                <w:color w:val="000000"/>
                <w:sz w:val="18"/>
                <w:szCs w:val="18"/>
              </w:rPr>
              <w:t>带宽</w:t>
            </w:r>
            <w:r>
              <w:rPr>
                <w:rFonts w:hint="eastAsia" w:ascii="宋体" w:hAnsi="宋体" w:eastAsia="宋体" w:cstheme="minorEastAsia"/>
                <w:color w:val="000000"/>
                <w:sz w:val="18"/>
                <w:szCs w:val="18"/>
                <w:lang w:val="en-US" w:eastAsia="zh-CN"/>
              </w:rPr>
              <w:t>专线接入（一年）；</w:t>
            </w:r>
          </w:p>
          <w:p>
            <w:pPr>
              <w:pStyle w:val="10"/>
              <w:widowControl/>
              <w:numPr>
                <w:ilvl w:val="0"/>
                <w:numId w:val="0"/>
              </w:numPr>
              <w:spacing w:line="240" w:lineRule="exact"/>
              <w:ind w:leftChars="0"/>
              <w:jc w:val="left"/>
              <w:textAlignment w:val="center"/>
              <w:rPr>
                <w:rFonts w:hint="default"/>
                <w:lang w:val="en-US"/>
              </w:rPr>
            </w:pPr>
            <w:r>
              <w:rPr>
                <w:rFonts w:hint="eastAsia" w:ascii="宋体" w:hAnsi="宋体" w:eastAsia="宋体" w:cstheme="minorEastAsia"/>
                <w:color w:val="000000"/>
                <w:sz w:val="18"/>
                <w:szCs w:val="18"/>
                <w:lang w:val="en-US" w:eastAsia="zh-CN"/>
              </w:rPr>
              <w:t>2.通过专线将钉钉平台接入医院内网，提供相关ip端口等信息，配合医院通过安全设备实现钉钉内网部署，要求主要用于内网及时沟通，并可限制其他相关功能的使用。</w:t>
            </w:r>
          </w:p>
        </w:tc>
        <w:tc>
          <w:tcPr>
            <w:tcW w:w="6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Theme="minorEastAsia" w:hAnsiTheme="minorEastAsia" w:cstheme="minorEastAsia"/>
                <w:color w:val="000000"/>
                <w:szCs w:val="21"/>
              </w:rPr>
            </w:pPr>
            <w:r>
              <w:rPr>
                <w:rFonts w:asciiTheme="minorEastAsia" w:hAnsiTheme="minorEastAsia" w:cstheme="minorEastAsia"/>
                <w:color w:val="000000"/>
                <w:kern w:val="0"/>
                <w:szCs w:val="21"/>
              </w:rPr>
              <w:t>1</w:t>
            </w:r>
          </w:p>
        </w:tc>
        <w:tc>
          <w:tcPr>
            <w:tcW w:w="6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hint="eastAsia" w:asciiTheme="minorEastAsia" w:hAnsiTheme="minorEastAsia" w:eastAsiaTheme="minorEastAsia" w:cstheme="minorEastAsia"/>
                <w:color w:val="000000"/>
                <w:szCs w:val="21"/>
                <w:lang w:eastAsia="zh-CN"/>
              </w:rPr>
            </w:pPr>
            <w:r>
              <w:rPr>
                <w:rFonts w:hint="eastAsia" w:asciiTheme="minorEastAsia" w:hAnsiTheme="minorEastAsia" w:cstheme="minorEastAsia"/>
                <w:color w:val="000000"/>
                <w:szCs w:val="21"/>
                <w:lang w:val="en-US" w:eastAsia="zh-CN"/>
              </w:rPr>
              <w:t>项</w:t>
            </w:r>
          </w:p>
        </w:tc>
        <w:tc>
          <w:tcPr>
            <w:tcW w:w="6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rPr>
                <w:rFonts w:asciiTheme="minorEastAsia" w:hAnsiTheme="minorEastAsia" w:cstheme="minorEastAsia"/>
                <w:color w:val="000000"/>
                <w:szCs w:val="21"/>
              </w:rPr>
            </w:pPr>
          </w:p>
        </w:tc>
      </w:tr>
    </w:tbl>
    <w:p>
      <w:pPr>
        <w:widowControl/>
        <w:spacing w:line="460" w:lineRule="exact"/>
        <w:ind w:hanging="20"/>
        <w:jc w:val="center"/>
        <w:rPr>
          <w:rFonts w:ascii="宋体" w:hAnsi="宋体"/>
          <w:b/>
          <w:sz w:val="44"/>
          <w:szCs w:val="44"/>
        </w:rPr>
      </w:pPr>
    </w:p>
    <w:p>
      <w:pPr>
        <w:widowControl/>
        <w:jc w:val="left"/>
        <w:rPr>
          <w:rFonts w:ascii="宋体" w:hAnsi="宋体"/>
          <w:b/>
          <w:sz w:val="44"/>
          <w:szCs w:val="44"/>
        </w:rPr>
      </w:pPr>
      <w:r>
        <w:rPr>
          <w:rFonts w:ascii="宋体" w:hAnsi="宋体"/>
          <w:b/>
          <w:sz w:val="44"/>
          <w:szCs w:val="44"/>
        </w:rPr>
        <w:br w:type="page"/>
      </w:r>
    </w:p>
    <w:p>
      <w:pPr>
        <w:widowControl/>
        <w:spacing w:line="460" w:lineRule="exact"/>
        <w:jc w:val="center"/>
        <w:rPr>
          <w:rFonts w:ascii="宋体" w:hAnsi="宋体"/>
          <w:b/>
          <w:sz w:val="44"/>
          <w:szCs w:val="44"/>
        </w:rPr>
      </w:pPr>
      <w:r>
        <w:rPr>
          <w:rFonts w:hint="eastAsia" w:ascii="宋体" w:hAnsi="宋体"/>
          <w:b/>
          <w:sz w:val="32"/>
          <w:szCs w:val="44"/>
        </w:rPr>
        <w:t>三、商务要求</w:t>
      </w:r>
    </w:p>
    <w:p>
      <w:pPr>
        <w:widowControl/>
        <w:spacing w:line="460" w:lineRule="exact"/>
        <w:ind w:hanging="20"/>
        <w:jc w:val="left"/>
        <w:rPr>
          <w:rFonts w:ascii="宋体" w:hAnsi="宋体"/>
          <w:b/>
          <w:sz w:val="28"/>
          <w:szCs w:val="28"/>
        </w:rPr>
      </w:pPr>
    </w:p>
    <w:p>
      <w:pPr>
        <w:pStyle w:val="12"/>
        <w:numPr>
          <w:ilvl w:val="0"/>
          <w:numId w:val="4"/>
        </w:numPr>
        <w:spacing w:before="0" w:line="440" w:lineRule="exact"/>
        <w:ind w:left="0" w:leftChars="0" w:firstLine="280" w:firstLineChars="100"/>
        <w:rPr>
          <w:rFonts w:hint="eastAsia"/>
          <w:sz w:val="28"/>
          <w:szCs w:val="28"/>
        </w:rPr>
      </w:pPr>
      <w:r>
        <w:rPr>
          <w:rFonts w:hint="eastAsia"/>
          <w:sz w:val="28"/>
          <w:szCs w:val="28"/>
        </w:rPr>
        <w:t>对供应商资质要求：</w:t>
      </w:r>
    </w:p>
    <w:p>
      <w:pPr>
        <w:pStyle w:val="12"/>
        <w:numPr>
          <w:ilvl w:val="0"/>
          <w:numId w:val="0"/>
        </w:numPr>
        <w:spacing w:before="0" w:line="360" w:lineRule="auto"/>
        <w:ind w:leftChars="100"/>
        <w:rPr>
          <w:rFonts w:hint="eastAsia" w:ascii="Calibri" w:hAnsi="Calibri"/>
          <w:kern w:val="2"/>
          <w:sz w:val="28"/>
          <w:szCs w:val="28"/>
          <w:lang w:val="en-US" w:eastAsia="zh-CN" w:bidi="ar-SA"/>
        </w:rPr>
      </w:pPr>
      <w:r>
        <w:rPr>
          <w:rFonts w:hint="eastAsia" w:ascii="Calibri" w:hAnsi="Calibri"/>
          <w:kern w:val="2"/>
          <w:sz w:val="28"/>
          <w:szCs w:val="28"/>
          <w:lang w:val="en-US" w:eastAsia="zh-CN" w:bidi="ar-SA"/>
        </w:rPr>
        <w:t>（1）具有企业法人营业执照；</w:t>
      </w:r>
    </w:p>
    <w:p>
      <w:pPr>
        <w:pStyle w:val="12"/>
        <w:spacing w:before="0" w:line="360" w:lineRule="auto"/>
        <w:ind w:left="0" w:leftChars="0" w:firstLine="280" w:firstLineChars="100"/>
        <w:rPr>
          <w:rFonts w:hint="eastAsia" w:ascii="Calibri" w:hAnsi="Calibri"/>
          <w:kern w:val="2"/>
          <w:sz w:val="28"/>
          <w:szCs w:val="28"/>
          <w:lang w:val="en-US" w:eastAsia="zh-CN" w:bidi="ar-SA"/>
        </w:rPr>
      </w:pPr>
      <w:r>
        <w:rPr>
          <w:rFonts w:hint="eastAsia" w:ascii="Calibri" w:hAnsi="Calibri"/>
          <w:kern w:val="2"/>
          <w:sz w:val="28"/>
          <w:szCs w:val="28"/>
          <w:lang w:val="en-US" w:eastAsia="zh-CN" w:bidi="ar-SA"/>
        </w:rPr>
        <w:t>（2）具有税务登记证、组织机构代码证（若供应商提供了“三证合一”的新版营业执照，无需另行提供税务登记证、组织机构代码证）；</w:t>
      </w:r>
    </w:p>
    <w:p>
      <w:pPr>
        <w:spacing w:line="360" w:lineRule="auto"/>
        <w:rPr>
          <w:rFonts w:hint="default" w:eastAsiaTheme="minorEastAsia"/>
          <w:sz w:val="28"/>
          <w:szCs w:val="28"/>
          <w:lang w:val="en-US" w:eastAsia="zh-CN"/>
        </w:rPr>
      </w:pPr>
      <w:r>
        <w:rPr>
          <w:rFonts w:hint="eastAsia"/>
          <w:sz w:val="28"/>
          <w:szCs w:val="28"/>
        </w:rPr>
        <w:t>2、交货期（工期）：</w:t>
      </w:r>
      <w:r>
        <w:rPr>
          <w:rFonts w:hint="eastAsia"/>
          <w:sz w:val="28"/>
          <w:szCs w:val="28"/>
          <w:lang w:val="en-US" w:eastAsia="zh-CN"/>
        </w:rPr>
        <w:t>合同签订之日起2</w:t>
      </w:r>
      <w:r>
        <w:rPr>
          <w:rFonts w:hint="eastAsia"/>
          <w:sz w:val="28"/>
          <w:szCs w:val="28"/>
        </w:rPr>
        <w:t>个月</w:t>
      </w:r>
      <w:r>
        <w:rPr>
          <w:rFonts w:hint="eastAsia"/>
          <w:sz w:val="28"/>
          <w:szCs w:val="28"/>
          <w:lang w:val="en-US" w:eastAsia="zh-CN"/>
        </w:rPr>
        <w:t>内完成钉钉部署。</w:t>
      </w:r>
    </w:p>
    <w:p>
      <w:pPr>
        <w:spacing w:line="360" w:lineRule="auto"/>
        <w:rPr>
          <w:rFonts w:hint="eastAsia" w:eastAsia="宋体"/>
          <w:sz w:val="28"/>
          <w:szCs w:val="28"/>
          <w:lang w:val="en-US" w:eastAsia="zh-CN"/>
        </w:rPr>
      </w:pPr>
      <w:r>
        <w:rPr>
          <w:rFonts w:hint="eastAsia"/>
          <w:sz w:val="28"/>
          <w:szCs w:val="28"/>
        </w:rPr>
        <w:t>3、免费</w:t>
      </w:r>
      <w:r>
        <w:rPr>
          <w:rFonts w:hint="eastAsia"/>
          <w:sz w:val="28"/>
          <w:szCs w:val="28"/>
          <w:lang w:val="en-US" w:eastAsia="zh-CN"/>
        </w:rPr>
        <w:t>服务</w:t>
      </w:r>
      <w:r>
        <w:rPr>
          <w:rFonts w:hint="eastAsia"/>
          <w:sz w:val="28"/>
          <w:szCs w:val="28"/>
        </w:rPr>
        <w:t>期：</w:t>
      </w:r>
      <w:r>
        <w:rPr>
          <w:rFonts w:hint="eastAsia"/>
          <w:sz w:val="28"/>
          <w:szCs w:val="28"/>
          <w:lang w:val="en-US" w:eastAsia="zh-CN"/>
        </w:rPr>
        <w:t>一年</w:t>
      </w:r>
    </w:p>
    <w:p>
      <w:pPr>
        <w:spacing w:line="360" w:lineRule="auto"/>
        <w:rPr>
          <w:rFonts w:hint="eastAsia"/>
          <w:bCs/>
          <w:sz w:val="28"/>
          <w:szCs w:val="28"/>
          <w:lang w:eastAsia="zh-CN"/>
        </w:rPr>
      </w:pPr>
      <w:r>
        <w:rPr>
          <w:rFonts w:hint="eastAsia"/>
          <w:sz w:val="28"/>
          <w:szCs w:val="28"/>
        </w:rPr>
        <w:t>4、付款方式：</w:t>
      </w:r>
      <w:r>
        <w:rPr>
          <w:rFonts w:hint="eastAsia"/>
          <w:bCs/>
          <w:sz w:val="28"/>
          <w:szCs w:val="28"/>
        </w:rPr>
        <w:t>验收合格使用一个月后，支付合同总价的</w:t>
      </w:r>
      <w:r>
        <w:rPr>
          <w:rFonts w:hint="eastAsia"/>
          <w:bCs/>
          <w:sz w:val="28"/>
          <w:szCs w:val="28"/>
          <w:lang w:val="en-US" w:eastAsia="zh-CN"/>
        </w:rPr>
        <w:t>80</w:t>
      </w:r>
      <w:r>
        <w:rPr>
          <w:rFonts w:hint="eastAsia"/>
          <w:bCs/>
          <w:sz w:val="28"/>
          <w:szCs w:val="28"/>
        </w:rPr>
        <w:t>%，余款质保期满之后</w:t>
      </w:r>
      <w:r>
        <w:rPr>
          <w:rFonts w:hint="eastAsia"/>
          <w:bCs/>
          <w:sz w:val="28"/>
          <w:szCs w:val="28"/>
          <w:lang w:val="en-US" w:eastAsia="zh-CN"/>
        </w:rPr>
        <w:t>1</w:t>
      </w:r>
      <w:r>
        <w:rPr>
          <w:rFonts w:hint="eastAsia"/>
          <w:bCs/>
          <w:sz w:val="28"/>
          <w:szCs w:val="28"/>
        </w:rPr>
        <w:t>个月内付清</w:t>
      </w:r>
      <w:r>
        <w:rPr>
          <w:rFonts w:hint="eastAsia"/>
          <w:bCs/>
          <w:sz w:val="28"/>
          <w:szCs w:val="28"/>
          <w:lang w:eastAsia="zh-CN"/>
        </w:rPr>
        <w:t>。</w:t>
      </w:r>
    </w:p>
    <w:p>
      <w:pPr>
        <w:spacing w:line="360" w:lineRule="auto"/>
        <w:rPr>
          <w:rFonts w:cs="宋体" w:asciiTheme="minorEastAsia" w:hAnsiTheme="minorEastAsia"/>
          <w:sz w:val="28"/>
          <w:szCs w:val="28"/>
        </w:rPr>
      </w:pPr>
    </w:p>
    <w:p>
      <w:pPr>
        <w:widowControl/>
        <w:spacing w:line="460" w:lineRule="exact"/>
        <w:jc w:val="center"/>
        <w:rPr>
          <w:rFonts w:hint="eastAsia" w:ascii="宋体" w:hAnsi="宋体"/>
          <w:b/>
          <w:sz w:val="32"/>
          <w:szCs w:val="44"/>
        </w:rPr>
      </w:pPr>
      <w:r>
        <w:rPr>
          <w:rFonts w:hint="eastAsia" w:ascii="宋体" w:hAnsi="宋体"/>
          <w:b/>
          <w:sz w:val="32"/>
          <w:szCs w:val="44"/>
          <w:lang w:val="en-US" w:eastAsia="zh-CN"/>
        </w:rPr>
        <w:t>四、</w:t>
      </w:r>
      <w:r>
        <w:rPr>
          <w:rFonts w:hint="eastAsia" w:ascii="宋体" w:hAnsi="宋体"/>
          <w:b/>
          <w:sz w:val="32"/>
          <w:szCs w:val="44"/>
        </w:rPr>
        <w:t>评分细则</w:t>
      </w:r>
    </w:p>
    <w:p>
      <w:pPr>
        <w:widowControl/>
        <w:jc w:val="left"/>
        <w:textAlignment w:val="center"/>
        <w:rPr>
          <w:rFonts w:ascii="等线" w:hAnsi="等线" w:eastAsia="等线" w:cs="等线"/>
          <w:b/>
          <w:color w:val="000000"/>
          <w:kern w:val="0"/>
          <w:sz w:val="24"/>
        </w:rPr>
      </w:pPr>
      <w:r>
        <w:rPr>
          <w:rFonts w:ascii="等线" w:hAnsi="等线" w:eastAsia="等线" w:cs="等线"/>
          <w:b/>
          <w:color w:val="000000"/>
          <w:kern w:val="0"/>
          <w:sz w:val="24"/>
        </w:rPr>
        <w:t>评分（总分：50分）。评委对通过投标文件技术标符合性审查和商务标符合性审查的所有投标人进行评分，并分别填写评分表。具体评分标准如下</w:t>
      </w:r>
    </w:p>
    <w:tbl>
      <w:tblPr>
        <w:tblStyle w:val="8"/>
        <w:tblW w:w="8506" w:type="dxa"/>
        <w:tblInd w:w="0" w:type="dxa"/>
        <w:tblLayout w:type="fixed"/>
        <w:tblCellMar>
          <w:top w:w="0" w:type="dxa"/>
          <w:left w:w="0" w:type="dxa"/>
          <w:bottom w:w="0" w:type="dxa"/>
          <w:right w:w="0" w:type="dxa"/>
        </w:tblCellMar>
      </w:tblPr>
      <w:tblGrid>
        <w:gridCol w:w="618"/>
        <w:gridCol w:w="1038"/>
        <w:gridCol w:w="975"/>
        <w:gridCol w:w="5875"/>
      </w:tblGrid>
      <w:tr>
        <w:tblPrEx>
          <w:tblCellMar>
            <w:top w:w="0" w:type="dxa"/>
            <w:left w:w="0" w:type="dxa"/>
            <w:bottom w:w="0" w:type="dxa"/>
            <w:right w:w="0" w:type="dxa"/>
          </w:tblCellMar>
        </w:tblPrEx>
        <w:trPr>
          <w:trHeight w:val="42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 w:val="18"/>
                <w:szCs w:val="18"/>
              </w:rPr>
            </w:pPr>
            <w:r>
              <w:rPr>
                <w:rFonts w:hint="eastAsia" w:asciiTheme="minorEastAsia" w:hAnsiTheme="minorEastAsia" w:cstheme="minorEastAsia"/>
                <w:b/>
                <w:color w:val="000000"/>
                <w:kern w:val="0"/>
                <w:sz w:val="18"/>
                <w:szCs w:val="18"/>
              </w:rPr>
              <w:t>序号</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 w:val="18"/>
                <w:szCs w:val="18"/>
              </w:rPr>
            </w:pPr>
            <w:r>
              <w:rPr>
                <w:rFonts w:hint="eastAsia" w:asciiTheme="minorEastAsia" w:hAnsiTheme="minorEastAsia" w:cstheme="minorEastAsia"/>
                <w:b/>
                <w:color w:val="000000"/>
                <w:kern w:val="0"/>
                <w:sz w:val="18"/>
                <w:szCs w:val="18"/>
              </w:rPr>
              <w:t>评分项目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 w:val="18"/>
                <w:szCs w:val="18"/>
              </w:rPr>
            </w:pPr>
            <w:r>
              <w:rPr>
                <w:rFonts w:hint="eastAsia" w:asciiTheme="minorEastAsia" w:hAnsiTheme="minorEastAsia" w:cstheme="minorEastAsia"/>
                <w:b/>
                <w:color w:val="000000"/>
                <w:kern w:val="0"/>
                <w:sz w:val="18"/>
                <w:szCs w:val="18"/>
              </w:rPr>
              <w:t>满分值</w:t>
            </w:r>
          </w:p>
        </w:tc>
        <w:tc>
          <w:tcPr>
            <w:tcW w:w="5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b/>
                <w:color w:val="000000"/>
                <w:sz w:val="18"/>
                <w:szCs w:val="18"/>
              </w:rPr>
            </w:pPr>
            <w:r>
              <w:rPr>
                <w:rFonts w:hint="eastAsia" w:asciiTheme="minorEastAsia" w:hAnsiTheme="minorEastAsia" w:cstheme="minorEastAsia"/>
                <w:b/>
                <w:color w:val="000000"/>
                <w:kern w:val="0"/>
                <w:sz w:val="18"/>
                <w:szCs w:val="18"/>
              </w:rPr>
              <w:t>评分内容及标准</w:t>
            </w:r>
          </w:p>
        </w:tc>
      </w:tr>
      <w:tr>
        <w:tblPrEx>
          <w:tblCellMar>
            <w:top w:w="0" w:type="dxa"/>
            <w:left w:w="0" w:type="dxa"/>
            <w:bottom w:w="0" w:type="dxa"/>
            <w:right w:w="0" w:type="dxa"/>
          </w:tblCellMar>
        </w:tblPrEx>
        <w:trPr>
          <w:trHeight w:val="115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w:t>
            </w:r>
          </w:p>
        </w:tc>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商务标得分</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15分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通过以上评审标准的投标人的有效最低总投标价为评标基准价，得满分15分，其余投标人的商务标得分均按照以下方式计算：商务标得分=（评标基准价/投标人的总投标价）×15%×100。（小数点后面保留两位小数，第三位四舍五入）。</w:t>
            </w:r>
          </w:p>
        </w:tc>
      </w:tr>
      <w:tr>
        <w:tblPrEx>
          <w:tblCellMar>
            <w:top w:w="0" w:type="dxa"/>
            <w:left w:w="0" w:type="dxa"/>
            <w:bottom w:w="0" w:type="dxa"/>
            <w:right w:w="0" w:type="dxa"/>
          </w:tblCellMar>
        </w:tblPrEx>
        <w:trPr>
          <w:trHeight w:val="540"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2</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功能响应情况</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5分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该项满分为5分，若钉钉公文收发应用功能有一处负偏离扣0.5分，扣完为止。</w:t>
            </w:r>
          </w:p>
        </w:tc>
      </w:tr>
      <w:tr>
        <w:tblPrEx>
          <w:tblCellMar>
            <w:top w:w="0" w:type="dxa"/>
            <w:left w:w="0" w:type="dxa"/>
            <w:bottom w:w="0" w:type="dxa"/>
            <w:right w:w="0" w:type="dxa"/>
          </w:tblCellMar>
        </w:tblPrEx>
        <w:trPr>
          <w:trHeight w:val="543"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服务方案</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5分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综合比较投标人针对本项目实施方案的全面性、实际可行性进行排名：第一名得5分，第二名得3分，第三名得1分，其余得0.5分,未提供不得分。</w:t>
            </w:r>
          </w:p>
        </w:tc>
      </w:tr>
      <w:tr>
        <w:tblPrEx>
          <w:tblCellMar>
            <w:top w:w="0" w:type="dxa"/>
            <w:left w:w="0" w:type="dxa"/>
            <w:bottom w:w="0" w:type="dxa"/>
            <w:right w:w="0" w:type="dxa"/>
          </w:tblCellMar>
        </w:tblPrEx>
        <w:trPr>
          <w:trHeight w:val="220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4</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人员力量</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15分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1.投标人提供的本项目实施负责人具有钉钉数字化管理师证书得3分；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2.投标人每增加一名拥有钉钉数字管理专员证书人员得1分，最多得4分；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3.投标人每增加一名拥有阿里云ACP工程师证书人员得2分，最多得6分；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4.投标人每增加一名拥有通信专业中级职称人员得1分，最多得2分。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注：投标文件中提供人员证书扫描件及投标商为其缴纳的近三个月内（其中任意一个月）的社保缴纳证明材料扫描件（复印件），具体可通过下述形式之一：（1）社保局官方网站查询的个人缴费记录截图扫描件（复印件）；（2）社保局的书面证明材料；（3）其他经评标委员会认可的证明材料；</w:t>
            </w:r>
          </w:p>
        </w:tc>
      </w:tr>
      <w:tr>
        <w:tblPrEx>
          <w:tblCellMar>
            <w:top w:w="0" w:type="dxa"/>
            <w:left w:w="0" w:type="dxa"/>
            <w:bottom w:w="0" w:type="dxa"/>
            <w:right w:w="0" w:type="dxa"/>
          </w:tblCellMar>
        </w:tblPrEx>
        <w:trPr>
          <w:trHeight w:val="42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5</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服务能力</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3分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1.投标人在</w:t>
            </w:r>
            <w:r>
              <w:rPr>
                <w:rFonts w:hint="eastAsia" w:asciiTheme="minorEastAsia" w:hAnsiTheme="minorEastAsia" w:cstheme="minorEastAsia"/>
                <w:color w:val="000000"/>
                <w:kern w:val="0"/>
                <w:sz w:val="18"/>
                <w:szCs w:val="18"/>
                <w:lang w:val="en-US" w:eastAsia="zh-CN"/>
              </w:rPr>
              <w:t>马鞍山市</w:t>
            </w:r>
            <w:r>
              <w:rPr>
                <w:rFonts w:hint="eastAsia" w:asciiTheme="minorEastAsia" w:hAnsiTheme="minorEastAsia" w:cstheme="minorEastAsia"/>
                <w:color w:val="000000"/>
                <w:kern w:val="0"/>
                <w:sz w:val="18"/>
                <w:szCs w:val="18"/>
              </w:rPr>
              <w:t>有服务网点得</w:t>
            </w:r>
            <w:r>
              <w:rPr>
                <w:rFonts w:hint="eastAsia" w:asciiTheme="minorEastAsia" w:hAnsiTheme="minorEastAsia" w:cstheme="minorEastAsia"/>
                <w:color w:val="000000"/>
                <w:kern w:val="0"/>
                <w:sz w:val="18"/>
                <w:szCs w:val="18"/>
                <w:lang w:val="en-US" w:eastAsia="zh-CN"/>
              </w:rPr>
              <w:t>3</w:t>
            </w:r>
            <w:r>
              <w:rPr>
                <w:rFonts w:hint="eastAsia" w:asciiTheme="minorEastAsia" w:hAnsiTheme="minorEastAsia" w:cstheme="minorEastAsia"/>
                <w:color w:val="000000"/>
                <w:kern w:val="0"/>
                <w:sz w:val="18"/>
                <w:szCs w:val="18"/>
              </w:rPr>
              <w:t>分，需提供相应证明材料。</w:t>
            </w:r>
          </w:p>
        </w:tc>
      </w:tr>
      <w:tr>
        <w:tblPrEx>
          <w:tblCellMar>
            <w:top w:w="0" w:type="dxa"/>
            <w:left w:w="0" w:type="dxa"/>
            <w:bottom w:w="0" w:type="dxa"/>
            <w:right w:w="0" w:type="dxa"/>
          </w:tblCellMar>
        </w:tblPrEx>
        <w:trPr>
          <w:trHeight w:val="60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6</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投标人业绩</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6分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自2018年1月1日（含）以来（以合同签订时间为准，无合同签订时间评委会不予计分），投标人每完成一个钉钉服务类项目的得2分，最多得6分，得满为止。</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注：投标文件中须同时提供合同复印件。</w:t>
            </w:r>
          </w:p>
        </w:tc>
      </w:tr>
      <w:tr>
        <w:tblPrEx>
          <w:tblCellMar>
            <w:top w:w="0" w:type="dxa"/>
            <w:left w:w="0" w:type="dxa"/>
            <w:bottom w:w="0" w:type="dxa"/>
            <w:right w:w="0" w:type="dxa"/>
          </w:tblCellMar>
        </w:tblPrEx>
        <w:trPr>
          <w:trHeight w:val="1328"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7</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投标人信用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1分</w:t>
            </w:r>
          </w:p>
        </w:tc>
        <w:tc>
          <w:tcPr>
            <w:tcW w:w="5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rPr>
              <w:t>投标文件中提供了第三方征信机构出具的投</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标人的信用报告的，得1分。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注：（1）以上所述的“第三方征信机构”是指符合《征信业管理条例》要求的经营企业征信业务的征信机构，在投标文件中须附第三方征信机构在人民银行省级分支行完成企业征信机构备案的网址和截图，否则评委会不予计分。</w:t>
            </w:r>
            <w:r>
              <w:rPr>
                <w:rFonts w:hint="eastAsia" w:asciiTheme="minorEastAsia" w:hAnsiTheme="minorEastAsia" w:cstheme="minorEastAsia"/>
                <w:color w:val="000000"/>
                <w:kern w:val="0"/>
                <w:sz w:val="18"/>
                <w:szCs w:val="18"/>
              </w:rPr>
              <w:br w:type="textWrapping"/>
            </w:r>
            <w:r>
              <w:rPr>
                <w:rFonts w:hint="eastAsia" w:asciiTheme="minorEastAsia" w:hAnsiTheme="minorEastAsia" w:cstheme="minorEastAsia"/>
                <w:color w:val="000000"/>
                <w:kern w:val="0"/>
                <w:sz w:val="18"/>
                <w:szCs w:val="18"/>
              </w:rPr>
              <w:t>（2）信用报告须体现该报告在服务期内或有效期内，否则评委会不予计分。</w:t>
            </w:r>
          </w:p>
        </w:tc>
      </w:tr>
    </w:tbl>
    <w:p/>
    <w:p>
      <w:pPr>
        <w:pStyle w:val="2"/>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DA76FC"/>
    <w:multiLevelType w:val="singleLevel"/>
    <w:tmpl w:val="E7DA76FC"/>
    <w:lvl w:ilvl="0" w:tentative="0">
      <w:start w:val="1"/>
      <w:numFmt w:val="decimal"/>
      <w:suff w:val="nothing"/>
      <w:lvlText w:val="%1、"/>
      <w:lvlJc w:val="left"/>
    </w:lvl>
  </w:abstractNum>
  <w:abstractNum w:abstractNumId="1">
    <w:nsid w:val="2A9835D0"/>
    <w:multiLevelType w:val="multilevel"/>
    <w:tmpl w:val="2A9835D0"/>
    <w:lvl w:ilvl="0" w:tentative="0">
      <w:start w:val="1"/>
      <w:numFmt w:val="decimal"/>
      <w:lvlText w:val="%1."/>
      <w:lvlJc w:val="left"/>
      <w:pPr>
        <w:ind w:left="192" w:hanging="19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C3A5063"/>
    <w:multiLevelType w:val="multilevel"/>
    <w:tmpl w:val="3C3A5063"/>
    <w:lvl w:ilvl="0" w:tentative="0">
      <w:start w:val="1"/>
      <w:numFmt w:val="decimal"/>
      <w:lvlText w:val="%1."/>
      <w:lvlJc w:val="left"/>
      <w:pPr>
        <w:ind w:left="360" w:hanging="360"/>
      </w:pPr>
      <w:rPr>
        <w:rFonts w:hint="default" w:asciiTheme="minorEastAsia" w:hAnsiTheme="minorEastAsia" w:eastAsiaTheme="minorEastAsia" w:cstheme="minor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A0DC1D5"/>
    <w:multiLevelType w:val="multilevel"/>
    <w:tmpl w:val="5A0DC1D5"/>
    <w:lvl w:ilvl="0" w:tentative="0">
      <w:start w:val="1"/>
      <w:numFmt w:val="decimal"/>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1725C7B"/>
    <w:rsid w:val="0007669C"/>
    <w:rsid w:val="000B0853"/>
    <w:rsid w:val="000F0678"/>
    <w:rsid w:val="000F7A2B"/>
    <w:rsid w:val="0022719C"/>
    <w:rsid w:val="0023362C"/>
    <w:rsid w:val="00303AA7"/>
    <w:rsid w:val="00323B16"/>
    <w:rsid w:val="00370326"/>
    <w:rsid w:val="00404459"/>
    <w:rsid w:val="004C2C07"/>
    <w:rsid w:val="004D2ACE"/>
    <w:rsid w:val="00537345"/>
    <w:rsid w:val="00704096"/>
    <w:rsid w:val="007C3C0B"/>
    <w:rsid w:val="00805E21"/>
    <w:rsid w:val="00884FC8"/>
    <w:rsid w:val="008C39D6"/>
    <w:rsid w:val="008E4E01"/>
    <w:rsid w:val="008F0736"/>
    <w:rsid w:val="0093486E"/>
    <w:rsid w:val="009555F5"/>
    <w:rsid w:val="00966E3C"/>
    <w:rsid w:val="00996A94"/>
    <w:rsid w:val="009B180C"/>
    <w:rsid w:val="009B2059"/>
    <w:rsid w:val="009B7248"/>
    <w:rsid w:val="009E1397"/>
    <w:rsid w:val="009F7141"/>
    <w:rsid w:val="00A37E1B"/>
    <w:rsid w:val="00AB6F2E"/>
    <w:rsid w:val="00C8530F"/>
    <w:rsid w:val="00CA001B"/>
    <w:rsid w:val="00CA0F73"/>
    <w:rsid w:val="00CE6A3F"/>
    <w:rsid w:val="00D226DA"/>
    <w:rsid w:val="00D63C33"/>
    <w:rsid w:val="00DB0EE8"/>
    <w:rsid w:val="00DF05FD"/>
    <w:rsid w:val="00E205EA"/>
    <w:rsid w:val="00E535D4"/>
    <w:rsid w:val="00E93421"/>
    <w:rsid w:val="00ED678F"/>
    <w:rsid w:val="00F102B2"/>
    <w:rsid w:val="00F923A5"/>
    <w:rsid w:val="00FB1726"/>
    <w:rsid w:val="01725C7B"/>
    <w:rsid w:val="04BD1CD3"/>
    <w:rsid w:val="05CA3135"/>
    <w:rsid w:val="06624A42"/>
    <w:rsid w:val="068E04E2"/>
    <w:rsid w:val="088D0A67"/>
    <w:rsid w:val="099516E6"/>
    <w:rsid w:val="09AE54DF"/>
    <w:rsid w:val="0A257E26"/>
    <w:rsid w:val="0A867D5E"/>
    <w:rsid w:val="0B4E5FD5"/>
    <w:rsid w:val="0D7636B2"/>
    <w:rsid w:val="0DE36853"/>
    <w:rsid w:val="10056754"/>
    <w:rsid w:val="1511438A"/>
    <w:rsid w:val="15757BE2"/>
    <w:rsid w:val="174F4ED3"/>
    <w:rsid w:val="175E56C1"/>
    <w:rsid w:val="1A762640"/>
    <w:rsid w:val="1AB84F8D"/>
    <w:rsid w:val="1CEC22F9"/>
    <w:rsid w:val="1DFA75BA"/>
    <w:rsid w:val="1E2A1850"/>
    <w:rsid w:val="26CB1483"/>
    <w:rsid w:val="271B1AEA"/>
    <w:rsid w:val="27E25126"/>
    <w:rsid w:val="28E461CE"/>
    <w:rsid w:val="2A621E91"/>
    <w:rsid w:val="2BB170BE"/>
    <w:rsid w:val="2BBD3384"/>
    <w:rsid w:val="2DF651F4"/>
    <w:rsid w:val="2E1B53B8"/>
    <w:rsid w:val="2E4C4C16"/>
    <w:rsid w:val="2EAF742C"/>
    <w:rsid w:val="2F671B97"/>
    <w:rsid w:val="309F45BF"/>
    <w:rsid w:val="31AC1D00"/>
    <w:rsid w:val="33CB16BB"/>
    <w:rsid w:val="35096656"/>
    <w:rsid w:val="35262632"/>
    <w:rsid w:val="35930AD4"/>
    <w:rsid w:val="35A15A03"/>
    <w:rsid w:val="3A306A61"/>
    <w:rsid w:val="3B1C302B"/>
    <w:rsid w:val="3B30557D"/>
    <w:rsid w:val="3EB0772A"/>
    <w:rsid w:val="3EC246E6"/>
    <w:rsid w:val="3EC31529"/>
    <w:rsid w:val="3FBE7F0B"/>
    <w:rsid w:val="44F54D8E"/>
    <w:rsid w:val="469723FC"/>
    <w:rsid w:val="46BF5AE4"/>
    <w:rsid w:val="4C0221C4"/>
    <w:rsid w:val="4CD64373"/>
    <w:rsid w:val="4E5D08E3"/>
    <w:rsid w:val="50343B85"/>
    <w:rsid w:val="509A28A6"/>
    <w:rsid w:val="50C5596C"/>
    <w:rsid w:val="514F7CD6"/>
    <w:rsid w:val="529522A9"/>
    <w:rsid w:val="530713E3"/>
    <w:rsid w:val="531A62B7"/>
    <w:rsid w:val="534D2356"/>
    <w:rsid w:val="54B617F0"/>
    <w:rsid w:val="569D16BD"/>
    <w:rsid w:val="575A1105"/>
    <w:rsid w:val="5AE4714C"/>
    <w:rsid w:val="5C17068B"/>
    <w:rsid w:val="5C18266C"/>
    <w:rsid w:val="5E1C51EC"/>
    <w:rsid w:val="610D1F98"/>
    <w:rsid w:val="61F6547E"/>
    <w:rsid w:val="65490EA9"/>
    <w:rsid w:val="68D1481B"/>
    <w:rsid w:val="6BA8560F"/>
    <w:rsid w:val="6E8820A1"/>
    <w:rsid w:val="6ED20AB6"/>
    <w:rsid w:val="6FCF1420"/>
    <w:rsid w:val="7013774F"/>
    <w:rsid w:val="70FB1B25"/>
    <w:rsid w:val="718211CA"/>
    <w:rsid w:val="71DE7824"/>
    <w:rsid w:val="748D4DCA"/>
    <w:rsid w:val="75A45CBD"/>
    <w:rsid w:val="77807041"/>
    <w:rsid w:val="791E03EB"/>
    <w:rsid w:val="7951604A"/>
    <w:rsid w:val="795B16B9"/>
    <w:rsid w:val="795D625A"/>
    <w:rsid w:val="7A0C42E0"/>
    <w:rsid w:val="7AA2645A"/>
    <w:rsid w:val="7B60278A"/>
    <w:rsid w:val="7C457BDD"/>
    <w:rsid w:val="7C4A0AD9"/>
    <w:rsid w:val="7E280034"/>
    <w:rsid w:val="7E7E47A2"/>
    <w:rsid w:val="7F7F1F8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4"/>
    <w:unhideWhenUsed/>
    <w:qFormat/>
    <w:uiPriority w:val="0"/>
    <w:pPr>
      <w:keepNext/>
      <w:keepLines/>
      <w:numPr>
        <w:ilvl w:val="1"/>
        <w:numId w:val="1"/>
      </w:numPr>
      <w:spacing w:line="413" w:lineRule="auto"/>
      <w:outlineLvl w:val="1"/>
    </w:pPr>
    <w:rPr>
      <w:rFonts w:ascii="Arial" w:hAnsi="Arial" w:eastAsia="黑体"/>
      <w:b/>
      <w:sz w:val="32"/>
    </w:rPr>
  </w:style>
  <w:style w:type="paragraph" w:styleId="5">
    <w:name w:val="heading 3"/>
    <w:basedOn w:val="1"/>
    <w:next w:val="1"/>
    <w:unhideWhenUsed/>
    <w:qFormat/>
    <w:uiPriority w:val="0"/>
    <w:pPr>
      <w:keepNext/>
      <w:keepLines/>
      <w:numPr>
        <w:ilvl w:val="2"/>
        <w:numId w:val="1"/>
      </w:numPr>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rPr>
  </w:style>
  <w:style w:type="paragraph" w:styleId="4">
    <w:name w:val="Normal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List Paragraph"/>
    <w:basedOn w:val="1"/>
    <w:qFormat/>
    <w:uiPriority w:val="99"/>
    <w:pPr>
      <w:ind w:firstLine="420" w:firstLineChars="200"/>
    </w:pPr>
  </w:style>
  <w:style w:type="paragraph" w:customStyle="1" w:styleId="11">
    <w:name w:val="正常1"/>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customStyle="1" w:styleId="12">
    <w:name w:val="哈哈正文"/>
    <w:basedOn w:val="1"/>
    <w:qFormat/>
    <w:uiPriority w:val="0"/>
    <w:pPr>
      <w:widowControl/>
      <w:spacing w:before="119" w:line="360" w:lineRule="auto"/>
      <w:ind w:left="567" w:firstLine="420" w:firstLineChars="232"/>
    </w:pPr>
    <w:rPr>
      <w:rFonts w:ascii="宋体" w:hAnsi="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236</Words>
  <Characters>1348</Characters>
  <Lines>11</Lines>
  <Paragraphs>3</Paragraphs>
  <TotalTime>9</TotalTime>
  <ScaleCrop>false</ScaleCrop>
  <LinksUpToDate>false</LinksUpToDate>
  <CharactersWithSpaces>1581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2020-07-15T15:40:00Z</dcterms:created>
  <dc:creator>晏子</dc:creator>
  <cp:lastModifiedBy>晏子</cp:lastModifiedBy>
  <cp:lastPrinted>2020-06-02T10:00:00Z</cp:lastPrinted>
  <dcterms:modified xsi:type="dcterms:W3CDTF">2020-07-15T09:55:34Z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