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44"/>
          <w:szCs w:val="44"/>
          <w:lang w:val="en-US"/>
        </w:rPr>
      </w:pPr>
      <w:r>
        <w:rPr>
          <w:rFonts w:hint="eastAsia"/>
          <w:b/>
          <w:bCs/>
          <w:sz w:val="44"/>
          <w:szCs w:val="44"/>
          <w:lang w:val="en-US"/>
        </w:rPr>
        <w:t>污水处理站整体运营管理</w:t>
      </w:r>
    </w:p>
    <w:p>
      <w:pPr>
        <w:jc w:val="center"/>
        <w:rPr>
          <w:b/>
          <w:bCs/>
          <w:sz w:val="32"/>
          <w:szCs w:val="32"/>
          <w:lang w:val="en-US"/>
        </w:rPr>
      </w:pPr>
      <w:r>
        <w:rPr>
          <w:rFonts w:hint="eastAsia"/>
          <w:b/>
          <w:bCs/>
          <w:sz w:val="44"/>
          <w:szCs w:val="44"/>
          <w:lang w:val="en-US"/>
        </w:rPr>
        <w:t>质量及技术要求</w:t>
      </w:r>
    </w:p>
    <w:p>
      <w:pPr>
        <w:spacing w:line="324" w:lineRule="auto"/>
        <w:rPr>
          <w:rFonts w:hint="eastAsia" w:ascii="黑体" w:hAnsi="黑体" w:eastAsia="黑体" w:cs="黑体"/>
          <w:sz w:val="28"/>
          <w:szCs w:val="28"/>
          <w:lang w:val="en-US"/>
        </w:rPr>
      </w:pPr>
      <w:r>
        <w:rPr>
          <w:rFonts w:hint="eastAsia" w:ascii="黑体" w:hAnsi="黑体" w:eastAsia="黑体" w:cs="黑体"/>
          <w:sz w:val="28"/>
          <w:szCs w:val="28"/>
          <w:lang w:val="en-US" w:eastAsia="zh-CN"/>
        </w:rPr>
        <w:t>一、</w:t>
      </w:r>
      <w:r>
        <w:rPr>
          <w:rFonts w:hint="eastAsia" w:ascii="黑体" w:hAnsi="黑体" w:eastAsia="黑体" w:cs="黑体"/>
          <w:sz w:val="28"/>
          <w:szCs w:val="28"/>
          <w:lang w:val="en-US"/>
        </w:rPr>
        <w:t>运营管理质量及技术要求</w:t>
      </w:r>
    </w:p>
    <w:p>
      <w:pPr>
        <w:rPr>
          <w:sz w:val="28"/>
          <w:szCs w:val="28"/>
        </w:rPr>
      </w:pPr>
      <w:r>
        <w:rPr>
          <w:rFonts w:hint="eastAsia"/>
          <w:b/>
          <w:bCs/>
          <w:sz w:val="28"/>
          <w:szCs w:val="28"/>
        </w:rPr>
        <w:t>1、项目情况</w:t>
      </w:r>
    </w:p>
    <w:p>
      <w:pPr>
        <w:spacing w:line="324" w:lineRule="auto"/>
        <w:rPr>
          <w:bCs/>
          <w:sz w:val="28"/>
          <w:szCs w:val="28"/>
          <w:lang w:bidi="zh-CN"/>
        </w:rPr>
      </w:pPr>
      <w:r>
        <w:rPr>
          <w:rFonts w:hint="eastAsia"/>
          <w:sz w:val="28"/>
          <w:szCs w:val="28"/>
        </w:rPr>
        <w:t>1）项目概况：</w:t>
      </w:r>
      <w:r>
        <w:rPr>
          <w:rFonts w:hint="eastAsia"/>
          <w:bCs/>
          <w:kern w:val="2"/>
          <w:sz w:val="28"/>
          <w:szCs w:val="28"/>
          <w:lang w:bidi="zh-CN"/>
        </w:rPr>
        <w:t>马鞍山市人民医院秀山院区污水处理站采用生化处理+消毒工艺，消毒工艺采用单次氯酸钠消毒工艺，排放标准</w:t>
      </w:r>
      <w:r>
        <w:rPr>
          <w:rFonts w:hint="eastAsia"/>
          <w:bCs/>
          <w:kern w:val="2"/>
          <w:sz w:val="28"/>
          <w:szCs w:val="28"/>
          <w:lang w:val="en-US" w:bidi="zh-CN"/>
        </w:rPr>
        <w:t>须</w:t>
      </w:r>
      <w:r>
        <w:rPr>
          <w:bCs/>
          <w:kern w:val="2"/>
          <w:sz w:val="28"/>
          <w:szCs w:val="28"/>
          <w:lang w:bidi="zh-CN"/>
        </w:rPr>
        <w:t>达到</w:t>
      </w:r>
      <w:r>
        <w:rPr>
          <w:rFonts w:hint="eastAsia"/>
          <w:bCs/>
          <w:kern w:val="2"/>
          <w:sz w:val="28"/>
          <w:szCs w:val="28"/>
          <w:lang w:bidi="zh-CN"/>
        </w:rPr>
        <w:t>《医 疗 机 构 水 污 染 物 排 放 标 准 》（GB18466-2005）表2综合医疗机构和其他医疗机构水污染物排放限值（日均值）预处理标准</w:t>
      </w:r>
      <w:r>
        <w:rPr>
          <w:bCs/>
          <w:kern w:val="2"/>
          <w:sz w:val="28"/>
          <w:szCs w:val="28"/>
          <w:lang w:bidi="zh-CN"/>
        </w:rPr>
        <w:t>后排放至</w:t>
      </w:r>
      <w:r>
        <w:rPr>
          <w:rFonts w:hint="eastAsia"/>
          <w:bCs/>
          <w:kern w:val="2"/>
          <w:sz w:val="28"/>
          <w:szCs w:val="28"/>
          <w:lang w:bidi="zh-CN"/>
        </w:rPr>
        <w:t>马鞍山市</w:t>
      </w:r>
      <w:r>
        <w:rPr>
          <w:bCs/>
          <w:kern w:val="2"/>
          <w:sz w:val="28"/>
          <w:szCs w:val="28"/>
          <w:lang w:bidi="zh-CN"/>
        </w:rPr>
        <w:t>市政污水收集管</w:t>
      </w:r>
      <w:r>
        <w:rPr>
          <w:rFonts w:hint="eastAsia"/>
          <w:bCs/>
          <w:kern w:val="2"/>
          <w:sz w:val="28"/>
          <w:szCs w:val="28"/>
          <w:lang w:bidi="zh-CN"/>
        </w:rPr>
        <w:t>网。污水处理站设计日处理量</w:t>
      </w:r>
      <w:r>
        <w:rPr>
          <w:bCs/>
          <w:kern w:val="2"/>
          <w:sz w:val="28"/>
          <w:szCs w:val="28"/>
          <w:lang w:val="en-US" w:bidi="zh-CN"/>
        </w:rPr>
        <w:t>600</w:t>
      </w:r>
      <w:r>
        <w:rPr>
          <w:rFonts w:hint="eastAsia"/>
          <w:bCs/>
          <w:kern w:val="2"/>
          <w:sz w:val="28"/>
          <w:szCs w:val="28"/>
          <w:lang w:val="en-US" w:bidi="zh-CN"/>
        </w:rPr>
        <w:t>吨</w:t>
      </w:r>
      <w:r>
        <w:rPr>
          <w:bCs/>
          <w:kern w:val="2"/>
          <w:sz w:val="28"/>
          <w:szCs w:val="28"/>
          <w:lang w:val="en-US" w:bidi="zh-CN"/>
        </w:rPr>
        <w:t>/</w:t>
      </w:r>
      <w:r>
        <w:rPr>
          <w:rFonts w:hint="eastAsia"/>
          <w:bCs/>
          <w:kern w:val="2"/>
          <w:sz w:val="28"/>
          <w:szCs w:val="28"/>
          <w:lang w:val="en-US" w:bidi="zh-CN"/>
        </w:rPr>
        <w:t>天，实际日处理量按</w:t>
      </w:r>
      <w:r>
        <w:rPr>
          <w:bCs/>
          <w:kern w:val="2"/>
          <w:sz w:val="28"/>
          <w:szCs w:val="28"/>
          <w:lang w:val="en-US" w:bidi="zh-CN"/>
        </w:rPr>
        <w:t>600</w:t>
      </w:r>
      <w:r>
        <w:rPr>
          <w:rFonts w:hint="eastAsia"/>
          <w:bCs/>
          <w:kern w:val="2"/>
          <w:sz w:val="28"/>
          <w:szCs w:val="28"/>
          <w:lang w:val="en-US" w:bidi="zh-CN"/>
        </w:rPr>
        <w:t>吨</w:t>
      </w:r>
      <w:r>
        <w:rPr>
          <w:bCs/>
          <w:kern w:val="2"/>
          <w:sz w:val="28"/>
          <w:szCs w:val="28"/>
          <w:lang w:val="en-US" w:bidi="zh-CN"/>
        </w:rPr>
        <w:t>/</w:t>
      </w:r>
      <w:r>
        <w:rPr>
          <w:rFonts w:hint="eastAsia"/>
          <w:bCs/>
          <w:kern w:val="2"/>
          <w:sz w:val="28"/>
          <w:szCs w:val="28"/>
          <w:lang w:val="en-US" w:bidi="zh-CN"/>
        </w:rPr>
        <w:t>天计，总预算金额9.6万元/年。</w:t>
      </w:r>
    </w:p>
    <w:p>
      <w:pPr>
        <w:rPr>
          <w:sz w:val="28"/>
          <w:szCs w:val="28"/>
          <w:lang w:val="en-US"/>
        </w:rPr>
      </w:pPr>
      <w:r>
        <w:rPr>
          <w:rFonts w:hint="eastAsia"/>
          <w:sz w:val="28"/>
          <w:szCs w:val="28"/>
          <w:lang w:val="en-US"/>
        </w:rPr>
        <w:t>2）</w:t>
      </w:r>
      <w:r>
        <w:rPr>
          <w:rFonts w:hint="eastAsia"/>
          <w:sz w:val="28"/>
          <w:szCs w:val="28"/>
          <w:lang w:eastAsia="zh-CN"/>
        </w:rPr>
        <w:t>采购</w:t>
      </w:r>
      <w:r>
        <w:rPr>
          <w:rFonts w:hint="eastAsia"/>
          <w:sz w:val="28"/>
          <w:szCs w:val="28"/>
        </w:rPr>
        <w:t>范围：</w:t>
      </w:r>
      <w:r>
        <w:rPr>
          <w:rFonts w:hint="eastAsia"/>
          <w:bCs/>
          <w:kern w:val="2"/>
          <w:sz w:val="28"/>
          <w:szCs w:val="28"/>
          <w:lang w:bidi="zh-CN"/>
        </w:rPr>
        <w:t>马鞍山市人民医院秀山院区污水处理站</w:t>
      </w:r>
      <w:r>
        <w:rPr>
          <w:rFonts w:hint="eastAsia"/>
          <w:sz w:val="28"/>
          <w:szCs w:val="28"/>
        </w:rPr>
        <w:t>运营管理全部内容、</w:t>
      </w:r>
      <w:r>
        <w:rPr>
          <w:rFonts w:hint="eastAsia"/>
          <w:sz w:val="28"/>
          <w:szCs w:val="28"/>
          <w:lang w:val="en-US"/>
        </w:rPr>
        <w:t>劳动安全及达标排放责任</w:t>
      </w:r>
      <w:r>
        <w:rPr>
          <w:rFonts w:hint="eastAsia"/>
          <w:sz w:val="28"/>
          <w:szCs w:val="28"/>
        </w:rPr>
        <w:t>，污水处理站的范围界定为污水站格栅渠进水口至污水站排口。运营管理具体包括污水处理站运营管理、设备维护保养及污水站内进出水管网等运营维护</w:t>
      </w:r>
      <w:r>
        <w:rPr>
          <w:rFonts w:hint="eastAsia"/>
          <w:sz w:val="28"/>
          <w:szCs w:val="28"/>
          <w:lang w:val="en-US"/>
        </w:rPr>
        <w:t>，</w:t>
      </w:r>
      <w:r>
        <w:rPr>
          <w:rFonts w:hint="eastAsia"/>
          <w:sz w:val="28"/>
          <w:szCs w:val="28"/>
        </w:rPr>
        <w:t>污泥管网维修、压滤收集处理，空气及土壤污染防治，水质检测及分析化验，运维人员配备及管理（运维人员工资福利、安全防护、安全管理、运维方案及记录、技术资料等档案管理、信息汇报等保证正常运营的所有内容）。</w:t>
      </w:r>
      <w:r>
        <w:rPr>
          <w:rFonts w:hint="eastAsia"/>
          <w:sz w:val="28"/>
          <w:szCs w:val="28"/>
          <w:highlight w:val="yellow"/>
        </w:rPr>
        <w:t>污水处理运营所需的药剂、水电费由</w:t>
      </w:r>
      <w:r>
        <w:rPr>
          <w:rFonts w:hint="eastAsia"/>
          <w:sz w:val="28"/>
          <w:szCs w:val="28"/>
          <w:highlight w:val="yellow"/>
          <w:lang w:eastAsia="zh-CN"/>
        </w:rPr>
        <w:t>采购</w:t>
      </w:r>
      <w:r>
        <w:rPr>
          <w:rFonts w:hint="eastAsia"/>
          <w:sz w:val="28"/>
          <w:szCs w:val="28"/>
          <w:highlight w:val="yellow"/>
        </w:rPr>
        <w:t>人承担。</w:t>
      </w:r>
      <w:r>
        <w:rPr>
          <w:rFonts w:hint="eastAsia"/>
          <w:sz w:val="28"/>
          <w:szCs w:val="28"/>
          <w:lang w:val="en-US"/>
        </w:rPr>
        <w:t>具体质量及技术要求见下表。</w:t>
      </w:r>
    </w:p>
    <w:p>
      <w:pPr>
        <w:rPr>
          <w:b/>
          <w:bCs/>
          <w:sz w:val="28"/>
          <w:szCs w:val="28"/>
        </w:rPr>
      </w:pPr>
      <w:r>
        <w:rPr>
          <w:rFonts w:hint="eastAsia"/>
          <w:b/>
          <w:bCs/>
          <w:sz w:val="28"/>
          <w:szCs w:val="28"/>
        </w:rPr>
        <w:t>2.质量要求</w:t>
      </w:r>
    </w:p>
    <w:p>
      <w:pPr>
        <w:rPr>
          <w:sz w:val="28"/>
          <w:szCs w:val="28"/>
        </w:rPr>
      </w:pPr>
      <w:r>
        <w:rPr>
          <w:rFonts w:hint="eastAsia"/>
          <w:sz w:val="28"/>
          <w:szCs w:val="28"/>
          <w:lang w:val="en-US"/>
        </w:rPr>
        <w:t>1）</w:t>
      </w:r>
      <w:r>
        <w:rPr>
          <w:rFonts w:hint="eastAsia"/>
          <w:sz w:val="28"/>
          <w:szCs w:val="28"/>
        </w:rPr>
        <w:t>污水站出水排放要求：</w:t>
      </w:r>
    </w:p>
    <w:p>
      <w:pPr>
        <w:rPr>
          <w:sz w:val="28"/>
          <w:szCs w:val="28"/>
        </w:rPr>
      </w:pPr>
      <w:r>
        <w:rPr>
          <w:rFonts w:hint="eastAsia"/>
          <w:sz w:val="28"/>
          <w:szCs w:val="28"/>
          <w:lang w:val="en-US"/>
        </w:rPr>
        <w:t>污水站出水排放标准</w:t>
      </w:r>
      <w:r>
        <w:rPr>
          <w:rFonts w:hint="eastAsia"/>
          <w:sz w:val="28"/>
          <w:szCs w:val="28"/>
        </w:rPr>
        <w:t>，主要指标见下:</w:t>
      </w:r>
    </w:p>
    <w:tbl>
      <w:tblPr>
        <w:tblStyle w:val="11"/>
        <w:tblW w:w="9300" w:type="dxa"/>
        <w:tblCellSpacing w:w="0" w:type="dxa"/>
        <w:tblInd w:w="15" w:type="dxa"/>
        <w:tblLayout w:type="fixed"/>
        <w:tblCellMar>
          <w:top w:w="0" w:type="dxa"/>
          <w:left w:w="0" w:type="dxa"/>
          <w:bottom w:w="0" w:type="dxa"/>
          <w:right w:w="0" w:type="dxa"/>
        </w:tblCellMar>
      </w:tblPr>
      <w:tblGrid>
        <w:gridCol w:w="1058"/>
        <w:gridCol w:w="1058"/>
        <w:gridCol w:w="1058"/>
        <w:gridCol w:w="1059"/>
        <w:gridCol w:w="1058"/>
        <w:gridCol w:w="1058"/>
        <w:gridCol w:w="1064"/>
        <w:gridCol w:w="1887"/>
      </w:tblGrid>
      <w:tr>
        <w:tblPrEx>
          <w:tblCellMar>
            <w:top w:w="0" w:type="dxa"/>
            <w:left w:w="0" w:type="dxa"/>
            <w:bottom w:w="0" w:type="dxa"/>
            <w:right w:w="0" w:type="dxa"/>
          </w:tblCellMar>
        </w:tblPrEx>
        <w:trPr>
          <w:trHeight w:val="1310" w:hRule="atLeast"/>
          <w:tblCellSpacing w:w="0" w:type="dxa"/>
        </w:trPr>
        <w:tc>
          <w:tcPr>
            <w:tcW w:w="1058"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排放口名称</w:t>
            </w:r>
          </w:p>
        </w:tc>
        <w:tc>
          <w:tcPr>
            <w:tcW w:w="1058"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PH</w:t>
            </w:r>
          </w:p>
        </w:tc>
        <w:tc>
          <w:tcPr>
            <w:tcW w:w="1058"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COD</w:t>
            </w:r>
          </w:p>
          <w:p>
            <w:pPr>
              <w:jc w:val="center"/>
              <w:rPr>
                <w:color w:val="000000"/>
                <w:sz w:val="24"/>
                <w:lang w:val="en-US"/>
              </w:rPr>
            </w:pPr>
            <w:r>
              <w:rPr>
                <w:rFonts w:hint="eastAsia"/>
                <w:color w:val="000000"/>
                <w:sz w:val="24"/>
                <w:lang w:val="en-US"/>
              </w:rPr>
              <w:t>（mg/l）</w:t>
            </w:r>
          </w:p>
        </w:tc>
        <w:tc>
          <w:tcPr>
            <w:tcW w:w="1059"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BOD</w:t>
            </w:r>
          </w:p>
          <w:p>
            <w:pPr>
              <w:jc w:val="center"/>
              <w:rPr>
                <w:color w:val="000000"/>
                <w:sz w:val="24"/>
                <w:lang w:val="en-US"/>
              </w:rPr>
            </w:pPr>
            <w:r>
              <w:rPr>
                <w:rFonts w:hint="eastAsia"/>
                <w:color w:val="000000"/>
                <w:sz w:val="24"/>
                <w:lang w:val="en-US"/>
              </w:rPr>
              <w:t>（mg/l）</w:t>
            </w:r>
          </w:p>
        </w:tc>
        <w:tc>
          <w:tcPr>
            <w:tcW w:w="1058"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SS</w:t>
            </w:r>
          </w:p>
          <w:p>
            <w:pPr>
              <w:jc w:val="center"/>
              <w:rPr>
                <w:color w:val="000000"/>
                <w:sz w:val="24"/>
                <w:lang w:val="en-US"/>
              </w:rPr>
            </w:pPr>
            <w:r>
              <w:rPr>
                <w:rFonts w:hint="eastAsia"/>
                <w:color w:val="000000"/>
                <w:sz w:val="24"/>
                <w:lang w:val="en-US"/>
              </w:rPr>
              <w:t>（mg/l）</w:t>
            </w:r>
          </w:p>
        </w:tc>
        <w:tc>
          <w:tcPr>
            <w:tcW w:w="1058"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氨氮</w:t>
            </w:r>
          </w:p>
          <w:p>
            <w:pPr>
              <w:jc w:val="center"/>
              <w:rPr>
                <w:color w:val="000000"/>
                <w:sz w:val="24"/>
                <w:lang w:val="en-US"/>
              </w:rPr>
            </w:pPr>
            <w:r>
              <w:rPr>
                <w:rFonts w:hint="eastAsia"/>
                <w:color w:val="000000"/>
                <w:sz w:val="24"/>
                <w:lang w:val="en-US"/>
              </w:rPr>
              <w:t>（mg/l）</w:t>
            </w:r>
          </w:p>
        </w:tc>
        <w:tc>
          <w:tcPr>
            <w:tcW w:w="1064"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粪大肠菌群数（MPN/L）</w:t>
            </w:r>
          </w:p>
        </w:tc>
        <w:tc>
          <w:tcPr>
            <w:tcW w:w="1887"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信息来源</w:t>
            </w:r>
          </w:p>
        </w:tc>
      </w:tr>
      <w:tr>
        <w:tblPrEx>
          <w:tblCellMar>
            <w:top w:w="0" w:type="dxa"/>
            <w:left w:w="0" w:type="dxa"/>
            <w:bottom w:w="0" w:type="dxa"/>
            <w:right w:w="0" w:type="dxa"/>
          </w:tblCellMar>
        </w:tblPrEx>
        <w:trPr>
          <w:trHeight w:val="1950" w:hRule="atLeast"/>
          <w:tblCellSpacing w:w="0" w:type="dxa"/>
        </w:trPr>
        <w:tc>
          <w:tcPr>
            <w:tcW w:w="1058" w:type="dxa"/>
            <w:tcBorders>
              <w:top w:val="single" w:color="080000" w:sz="6" w:space="0"/>
              <w:left w:val="single" w:color="080000" w:sz="6" w:space="0"/>
              <w:bottom w:val="single" w:color="080000" w:sz="6" w:space="0"/>
              <w:right w:val="single" w:color="080000" w:sz="6" w:space="0"/>
            </w:tcBorders>
            <w:tcMar>
              <w:left w:w="108" w:type="dxa"/>
              <w:right w:w="108" w:type="dxa"/>
            </w:tcMar>
            <w:vAlign w:val="center"/>
          </w:tcPr>
          <w:p>
            <w:pPr>
              <w:jc w:val="center"/>
              <w:rPr>
                <w:color w:val="000000"/>
                <w:sz w:val="24"/>
              </w:rPr>
            </w:pPr>
            <w:r>
              <w:rPr>
                <w:rFonts w:hint="eastAsia"/>
                <w:color w:val="000000"/>
                <w:sz w:val="24"/>
              </w:rPr>
              <w:t>马鞍山市人民医院秀山院区污水站</w:t>
            </w:r>
            <w:r>
              <w:rPr>
                <w:rFonts w:hint="eastAsia"/>
                <w:color w:val="000000"/>
                <w:sz w:val="24"/>
                <w:lang w:val="en-US"/>
              </w:rPr>
              <w:t>排放口</w:t>
            </w:r>
          </w:p>
        </w:tc>
        <w:tc>
          <w:tcPr>
            <w:tcW w:w="1058" w:type="dxa"/>
            <w:tcBorders>
              <w:top w:val="single" w:color="080000" w:sz="6" w:space="0"/>
              <w:left w:val="single" w:color="080000" w:sz="6" w:space="0"/>
              <w:bottom w:val="single" w:color="080000" w:sz="6" w:space="0"/>
              <w:right w:val="single" w:color="080000" w:sz="6" w:space="0"/>
            </w:tcBorders>
            <w:tcMar>
              <w:left w:w="108" w:type="dxa"/>
              <w:right w:w="108" w:type="dxa"/>
            </w:tcMar>
            <w:vAlign w:val="center"/>
          </w:tcPr>
          <w:p>
            <w:pPr>
              <w:jc w:val="center"/>
              <w:rPr>
                <w:color w:val="000000"/>
                <w:sz w:val="24"/>
              </w:rPr>
            </w:pPr>
            <w:r>
              <w:rPr>
                <w:rFonts w:hint="eastAsia"/>
                <w:color w:val="000000"/>
                <w:sz w:val="24"/>
              </w:rPr>
              <w:t>6-9</w:t>
            </w:r>
          </w:p>
        </w:tc>
        <w:tc>
          <w:tcPr>
            <w:tcW w:w="1058" w:type="dxa"/>
            <w:tcBorders>
              <w:top w:val="single" w:color="080000" w:sz="6" w:space="0"/>
              <w:left w:val="single" w:color="080000" w:sz="6" w:space="0"/>
              <w:bottom w:val="single" w:color="080000" w:sz="6" w:space="0"/>
              <w:right w:val="single" w:color="080000" w:sz="6" w:space="0"/>
            </w:tcBorders>
            <w:tcMar>
              <w:left w:w="108" w:type="dxa"/>
              <w:right w:w="108" w:type="dxa"/>
            </w:tcMar>
            <w:vAlign w:val="center"/>
          </w:tcPr>
          <w:p>
            <w:pPr>
              <w:jc w:val="center"/>
              <w:rPr>
                <w:color w:val="000000"/>
                <w:sz w:val="24"/>
              </w:rPr>
            </w:pPr>
            <w:r>
              <w:rPr>
                <w:rFonts w:hint="eastAsia"/>
                <w:color w:val="000000"/>
                <w:sz w:val="24"/>
              </w:rPr>
              <w:t>250</w:t>
            </w:r>
          </w:p>
        </w:tc>
        <w:tc>
          <w:tcPr>
            <w:tcW w:w="1059" w:type="dxa"/>
            <w:tcBorders>
              <w:top w:val="single" w:color="080000" w:sz="6" w:space="0"/>
              <w:left w:val="single" w:color="080000" w:sz="6" w:space="0"/>
              <w:bottom w:val="single" w:color="080000" w:sz="6" w:space="0"/>
              <w:right w:val="single" w:color="080000" w:sz="6" w:space="0"/>
            </w:tcBorders>
            <w:tcMar>
              <w:left w:w="108" w:type="dxa"/>
              <w:right w:w="108" w:type="dxa"/>
            </w:tcMar>
            <w:vAlign w:val="center"/>
          </w:tcPr>
          <w:p>
            <w:pPr>
              <w:jc w:val="center"/>
              <w:rPr>
                <w:color w:val="000000"/>
                <w:sz w:val="24"/>
              </w:rPr>
            </w:pPr>
            <w:r>
              <w:rPr>
                <w:rFonts w:hint="eastAsia"/>
                <w:color w:val="000000"/>
                <w:sz w:val="24"/>
              </w:rPr>
              <w:t>100</w:t>
            </w:r>
          </w:p>
        </w:tc>
        <w:tc>
          <w:tcPr>
            <w:tcW w:w="1058" w:type="dxa"/>
            <w:tcBorders>
              <w:top w:val="single" w:color="080000" w:sz="6" w:space="0"/>
              <w:left w:val="single" w:color="080000" w:sz="6" w:space="0"/>
              <w:bottom w:val="single" w:color="080000" w:sz="6" w:space="0"/>
              <w:right w:val="single" w:color="080000" w:sz="6" w:space="0"/>
            </w:tcBorders>
            <w:tcMar>
              <w:left w:w="108" w:type="dxa"/>
              <w:right w:w="108" w:type="dxa"/>
            </w:tcMar>
            <w:vAlign w:val="center"/>
          </w:tcPr>
          <w:p>
            <w:pPr>
              <w:jc w:val="center"/>
              <w:rPr>
                <w:color w:val="000000"/>
                <w:sz w:val="24"/>
              </w:rPr>
            </w:pPr>
            <w:r>
              <w:rPr>
                <w:rFonts w:hint="eastAsia"/>
                <w:color w:val="000000"/>
                <w:sz w:val="24"/>
              </w:rPr>
              <w:t>60</w:t>
            </w:r>
          </w:p>
        </w:tc>
        <w:tc>
          <w:tcPr>
            <w:tcW w:w="1058" w:type="dxa"/>
            <w:tcBorders>
              <w:top w:val="single" w:color="080000" w:sz="6" w:space="0"/>
              <w:left w:val="single" w:color="080000" w:sz="6" w:space="0"/>
              <w:bottom w:val="single" w:color="080000" w:sz="6" w:space="0"/>
              <w:right w:val="single" w:color="080000" w:sz="6" w:space="0"/>
            </w:tcBorders>
            <w:tcMar>
              <w:left w:w="108" w:type="dxa"/>
              <w:right w:w="108" w:type="dxa"/>
            </w:tcMar>
            <w:vAlign w:val="center"/>
          </w:tcPr>
          <w:p>
            <w:pPr>
              <w:jc w:val="center"/>
              <w:rPr>
                <w:color w:val="000000"/>
                <w:sz w:val="24"/>
              </w:rPr>
            </w:pPr>
            <w:r>
              <w:rPr>
                <w:rFonts w:hint="eastAsia"/>
                <w:color w:val="000000"/>
                <w:sz w:val="24"/>
              </w:rPr>
              <w:t>-</w:t>
            </w:r>
          </w:p>
        </w:tc>
        <w:tc>
          <w:tcPr>
            <w:tcW w:w="1064" w:type="dxa"/>
            <w:tcBorders>
              <w:top w:val="single" w:color="080000" w:sz="6" w:space="0"/>
              <w:left w:val="single" w:color="080000" w:sz="6" w:space="0"/>
              <w:bottom w:val="single" w:color="080000" w:sz="6" w:space="0"/>
              <w:right w:val="single" w:color="080000" w:sz="6" w:space="0"/>
            </w:tcBorders>
            <w:tcMar>
              <w:left w:w="108" w:type="dxa"/>
              <w:right w:w="108" w:type="dxa"/>
            </w:tcMar>
            <w:vAlign w:val="center"/>
          </w:tcPr>
          <w:p>
            <w:pPr>
              <w:jc w:val="center"/>
              <w:rPr>
                <w:color w:val="000000"/>
                <w:sz w:val="24"/>
              </w:rPr>
            </w:pPr>
            <w:r>
              <w:rPr>
                <w:rFonts w:hint="eastAsia"/>
                <w:color w:val="000000"/>
                <w:sz w:val="24"/>
              </w:rPr>
              <w:t>5000</w:t>
            </w:r>
          </w:p>
        </w:tc>
        <w:tc>
          <w:tcPr>
            <w:tcW w:w="1887" w:type="dxa"/>
            <w:tcBorders>
              <w:top w:val="single" w:color="080000" w:sz="6" w:space="0"/>
              <w:left w:val="single" w:color="080000" w:sz="6" w:space="0"/>
              <w:bottom w:val="single" w:color="080000" w:sz="6" w:space="0"/>
              <w:right w:val="single" w:color="080000" w:sz="6" w:space="0"/>
            </w:tcBorders>
            <w:tcMar>
              <w:left w:w="108" w:type="dxa"/>
              <w:right w:w="108" w:type="dxa"/>
            </w:tcMar>
            <w:vAlign w:val="center"/>
          </w:tcPr>
          <w:p>
            <w:pPr>
              <w:jc w:val="center"/>
              <w:rPr>
                <w:color w:val="000000"/>
                <w:sz w:val="24"/>
              </w:rPr>
            </w:pPr>
            <w:r>
              <w:rPr>
                <w:rFonts w:hint="eastAsia"/>
                <w:color w:val="000000"/>
                <w:sz w:val="24"/>
              </w:rPr>
              <w:t>《医疗机构水污染物排放标准》（GB18466-2005）表2中预处理标准</w:t>
            </w:r>
          </w:p>
        </w:tc>
      </w:tr>
    </w:tbl>
    <w:p>
      <w:pPr>
        <w:ind w:firstLine="560" w:firstLineChars="200"/>
        <w:rPr>
          <w:sz w:val="28"/>
          <w:szCs w:val="28"/>
        </w:rPr>
      </w:pPr>
      <w:r>
        <w:rPr>
          <w:rFonts w:hint="eastAsia"/>
          <w:sz w:val="28"/>
          <w:szCs w:val="28"/>
          <w:lang w:val="en-US"/>
        </w:rPr>
        <w:t>马鞍山市人民医院秀山院区污水站已实现水质在线监测设备与生态环境部门的联网，中标人需保证排放口长期稳定达标，</w:t>
      </w:r>
      <w:r>
        <w:rPr>
          <w:rFonts w:hint="eastAsia"/>
          <w:sz w:val="28"/>
          <w:szCs w:val="28"/>
        </w:rPr>
        <w:t>因出水水质不达标导致或造成其他污染而导致</w:t>
      </w:r>
      <w:r>
        <w:rPr>
          <w:rFonts w:hint="eastAsia"/>
          <w:sz w:val="28"/>
          <w:szCs w:val="28"/>
          <w:lang w:eastAsia="zh-CN"/>
        </w:rPr>
        <w:t>采购</w:t>
      </w:r>
      <w:r>
        <w:rPr>
          <w:rFonts w:hint="eastAsia"/>
          <w:sz w:val="28"/>
          <w:szCs w:val="28"/>
        </w:rPr>
        <w:t>方被行业主管部门通报或处罚的或出现其他影响恶劣情形的，</w:t>
      </w:r>
      <w:r>
        <w:rPr>
          <w:rFonts w:hint="eastAsia"/>
          <w:sz w:val="28"/>
          <w:szCs w:val="28"/>
          <w:lang w:eastAsia="zh-CN"/>
        </w:rPr>
        <w:t>采购</w:t>
      </w:r>
      <w:r>
        <w:rPr>
          <w:rFonts w:hint="eastAsia"/>
          <w:sz w:val="28"/>
          <w:szCs w:val="28"/>
        </w:rPr>
        <w:t>方有权在追究中标方责任后与中标方解除合同。</w:t>
      </w:r>
      <w:r>
        <w:rPr>
          <w:rFonts w:hint="eastAsia"/>
          <w:sz w:val="28"/>
          <w:szCs w:val="28"/>
        </w:rPr>
        <w:br w:type="page"/>
      </w:r>
    </w:p>
    <w:p>
      <w:pPr>
        <w:numPr>
          <w:ilvl w:val="0"/>
          <w:numId w:val="1"/>
        </w:numPr>
        <w:rPr>
          <w:sz w:val="28"/>
          <w:szCs w:val="28"/>
        </w:rPr>
      </w:pPr>
      <w:r>
        <w:rPr>
          <w:rFonts w:hint="eastAsia"/>
          <w:sz w:val="28"/>
          <w:szCs w:val="28"/>
        </w:rPr>
        <w:t>污水站废气排放要求：符合《 医 疗 机 构 水 污 染 物 排 放标 准 》（GB18466-2005）表3污水处理站周边大气污染物最高允许浓度，具体要求见下表</w:t>
      </w:r>
    </w:p>
    <w:tbl>
      <w:tblPr>
        <w:tblStyle w:val="11"/>
        <w:tblpPr w:leftFromText="180" w:rightFromText="180" w:vertAnchor="text" w:horzAnchor="page" w:tblpX="1937" w:tblpY="445"/>
        <w:tblOverlap w:val="never"/>
        <w:tblW w:w="0" w:type="auto"/>
        <w:tblInd w:w="0" w:type="dxa"/>
        <w:tblBorders>
          <w:top w:val="single" w:color="070000" w:sz="6" w:space="0"/>
          <w:left w:val="single" w:color="070000" w:sz="6" w:space="0"/>
          <w:bottom w:val="single" w:color="070000" w:sz="6" w:space="0"/>
          <w:right w:val="single" w:color="070000" w:sz="6" w:space="0"/>
          <w:insideH w:val="single" w:color="070000" w:sz="6" w:space="0"/>
          <w:insideV w:val="single" w:color="070000" w:sz="6" w:space="0"/>
        </w:tblBorders>
        <w:tblLayout w:type="fixed"/>
        <w:tblCellMar>
          <w:top w:w="0" w:type="dxa"/>
          <w:left w:w="0" w:type="dxa"/>
          <w:bottom w:w="0" w:type="dxa"/>
          <w:right w:w="0" w:type="dxa"/>
        </w:tblCellMar>
      </w:tblPr>
      <w:tblGrid>
        <w:gridCol w:w="2067"/>
        <w:gridCol w:w="4617"/>
        <w:gridCol w:w="1766"/>
      </w:tblGrid>
      <w:tr>
        <w:tblPrEx>
          <w:tblBorders>
            <w:top w:val="single" w:color="070000" w:sz="6" w:space="0"/>
            <w:left w:val="single" w:color="070000" w:sz="6" w:space="0"/>
            <w:bottom w:val="single" w:color="070000" w:sz="6" w:space="0"/>
            <w:right w:val="single" w:color="070000" w:sz="6" w:space="0"/>
            <w:insideH w:val="single" w:color="070000" w:sz="6" w:space="0"/>
            <w:insideV w:val="single" w:color="070000" w:sz="6" w:space="0"/>
          </w:tblBorders>
          <w:tblCellMar>
            <w:top w:w="0" w:type="dxa"/>
            <w:left w:w="0" w:type="dxa"/>
            <w:bottom w:w="0" w:type="dxa"/>
            <w:right w:w="0" w:type="dxa"/>
          </w:tblCellMar>
        </w:tblPrEx>
        <w:trPr>
          <w:trHeight w:val="506" w:hRule="atLeast"/>
        </w:trPr>
        <w:tc>
          <w:tcPr>
            <w:tcW w:w="2067" w:type="dxa"/>
            <w:tcBorders>
              <w:bottom w:val="single" w:color="070000" w:sz="12" w:space="0"/>
              <w:right w:val="single" w:color="070000" w:sz="12" w:space="0"/>
            </w:tcBorders>
          </w:tcPr>
          <w:p>
            <w:pPr>
              <w:jc w:val="center"/>
              <w:rPr>
                <w:color w:val="000000"/>
                <w:sz w:val="24"/>
                <w:lang w:val="en-US"/>
              </w:rPr>
            </w:pPr>
            <w:r>
              <w:rPr>
                <w:rFonts w:hint="eastAsia"/>
                <w:color w:val="000000"/>
                <w:sz w:val="24"/>
                <w:lang w:val="en-US"/>
              </w:rPr>
              <w:t xml:space="preserve">  序号</w:t>
            </w:r>
          </w:p>
        </w:tc>
        <w:tc>
          <w:tcPr>
            <w:tcW w:w="4617" w:type="dxa"/>
            <w:tcBorders>
              <w:left w:val="single" w:color="070000" w:sz="12" w:space="0"/>
              <w:bottom w:val="single" w:color="070000" w:sz="12" w:space="0"/>
              <w:right w:val="single" w:color="070000" w:sz="12" w:space="0"/>
            </w:tcBorders>
          </w:tcPr>
          <w:p>
            <w:pPr>
              <w:jc w:val="center"/>
              <w:rPr>
                <w:color w:val="000000"/>
                <w:sz w:val="24"/>
                <w:lang w:val="en-US"/>
              </w:rPr>
            </w:pPr>
            <w:r>
              <w:rPr>
                <w:rFonts w:hint="eastAsia"/>
                <w:color w:val="000000"/>
                <w:sz w:val="24"/>
                <w:lang w:val="en-US"/>
              </w:rPr>
              <w:t>控制项目</w:t>
            </w:r>
          </w:p>
        </w:tc>
        <w:tc>
          <w:tcPr>
            <w:tcW w:w="1766" w:type="dxa"/>
            <w:tcBorders>
              <w:left w:val="single" w:color="070000" w:sz="12" w:space="0"/>
              <w:bottom w:val="single" w:color="070000" w:sz="12" w:space="0"/>
            </w:tcBorders>
          </w:tcPr>
          <w:p>
            <w:pPr>
              <w:jc w:val="center"/>
              <w:rPr>
                <w:color w:val="000000"/>
                <w:sz w:val="24"/>
                <w:lang w:val="en-US"/>
              </w:rPr>
            </w:pPr>
            <w:r>
              <w:rPr>
                <w:rFonts w:hint="eastAsia"/>
                <w:color w:val="000000"/>
                <w:sz w:val="24"/>
                <w:lang w:val="en-US"/>
              </w:rPr>
              <w:t>标准值</w:t>
            </w:r>
          </w:p>
        </w:tc>
      </w:tr>
      <w:tr>
        <w:tblPrEx>
          <w:tblBorders>
            <w:top w:val="single" w:color="070000" w:sz="6" w:space="0"/>
            <w:left w:val="single" w:color="070000" w:sz="6" w:space="0"/>
            <w:bottom w:val="single" w:color="070000" w:sz="6" w:space="0"/>
            <w:right w:val="single" w:color="070000" w:sz="6" w:space="0"/>
            <w:insideH w:val="single" w:color="070000" w:sz="6" w:space="0"/>
            <w:insideV w:val="single" w:color="070000" w:sz="6" w:space="0"/>
          </w:tblBorders>
          <w:tblCellMar>
            <w:top w:w="0" w:type="dxa"/>
            <w:left w:w="0" w:type="dxa"/>
            <w:bottom w:w="0" w:type="dxa"/>
            <w:right w:w="0" w:type="dxa"/>
          </w:tblCellMar>
        </w:tblPrEx>
        <w:trPr>
          <w:trHeight w:val="506" w:hRule="atLeast"/>
        </w:trPr>
        <w:tc>
          <w:tcPr>
            <w:tcW w:w="2067" w:type="dxa"/>
            <w:tcBorders>
              <w:top w:val="single" w:color="070000" w:sz="12" w:space="0"/>
              <w:bottom w:val="single" w:color="070000" w:sz="12" w:space="0"/>
              <w:right w:val="single" w:color="070000" w:sz="12" w:space="0"/>
            </w:tcBorders>
          </w:tcPr>
          <w:p>
            <w:pPr>
              <w:jc w:val="center"/>
              <w:rPr>
                <w:color w:val="000000"/>
                <w:sz w:val="24"/>
                <w:lang w:val="en-US"/>
              </w:rPr>
            </w:pPr>
            <w:r>
              <w:rPr>
                <w:rFonts w:hint="eastAsia"/>
                <w:color w:val="000000"/>
                <w:sz w:val="24"/>
                <w:lang w:val="en-US"/>
              </w:rPr>
              <w:t>1</w:t>
            </w:r>
          </w:p>
        </w:tc>
        <w:tc>
          <w:tcPr>
            <w:tcW w:w="4617" w:type="dxa"/>
            <w:tcBorders>
              <w:top w:val="single" w:color="070000" w:sz="12" w:space="0"/>
              <w:left w:val="single" w:color="070000" w:sz="12" w:space="0"/>
              <w:bottom w:val="single" w:color="070000" w:sz="12" w:space="0"/>
              <w:right w:val="single" w:color="070000" w:sz="12" w:space="0"/>
            </w:tcBorders>
          </w:tcPr>
          <w:p>
            <w:pPr>
              <w:jc w:val="center"/>
              <w:rPr>
                <w:color w:val="000000"/>
                <w:sz w:val="24"/>
                <w:lang w:val="en-US"/>
              </w:rPr>
            </w:pPr>
            <w:r>
              <w:rPr>
                <w:rFonts w:hint="eastAsia"/>
                <w:color w:val="000000"/>
                <w:sz w:val="24"/>
                <w:lang w:val="en-US"/>
              </w:rPr>
              <w:t>氨（mg/m³）</w:t>
            </w:r>
          </w:p>
        </w:tc>
        <w:tc>
          <w:tcPr>
            <w:tcW w:w="1766" w:type="dxa"/>
            <w:tcBorders>
              <w:top w:val="single" w:color="070000" w:sz="12" w:space="0"/>
              <w:left w:val="single" w:color="070000" w:sz="12" w:space="0"/>
              <w:bottom w:val="single" w:color="070000" w:sz="12" w:space="0"/>
            </w:tcBorders>
          </w:tcPr>
          <w:p>
            <w:pPr>
              <w:jc w:val="center"/>
              <w:rPr>
                <w:color w:val="000000"/>
                <w:sz w:val="24"/>
                <w:lang w:val="en-US"/>
              </w:rPr>
            </w:pPr>
            <w:r>
              <w:rPr>
                <w:rFonts w:hint="eastAsia"/>
                <w:color w:val="000000"/>
                <w:sz w:val="24"/>
                <w:lang w:val="en-US"/>
              </w:rPr>
              <w:t>1.0</w:t>
            </w:r>
          </w:p>
        </w:tc>
      </w:tr>
      <w:tr>
        <w:tblPrEx>
          <w:tblBorders>
            <w:top w:val="single" w:color="070000" w:sz="6" w:space="0"/>
            <w:left w:val="single" w:color="070000" w:sz="6" w:space="0"/>
            <w:bottom w:val="single" w:color="070000" w:sz="6" w:space="0"/>
            <w:right w:val="single" w:color="070000" w:sz="6" w:space="0"/>
            <w:insideH w:val="single" w:color="070000" w:sz="6" w:space="0"/>
            <w:insideV w:val="single" w:color="070000" w:sz="6" w:space="0"/>
          </w:tblBorders>
          <w:tblCellMar>
            <w:top w:w="0" w:type="dxa"/>
            <w:left w:w="0" w:type="dxa"/>
            <w:bottom w:w="0" w:type="dxa"/>
            <w:right w:w="0" w:type="dxa"/>
          </w:tblCellMar>
        </w:tblPrEx>
        <w:trPr>
          <w:trHeight w:val="506" w:hRule="atLeast"/>
        </w:trPr>
        <w:tc>
          <w:tcPr>
            <w:tcW w:w="2067" w:type="dxa"/>
            <w:tcBorders>
              <w:top w:val="single" w:color="070000" w:sz="12" w:space="0"/>
              <w:bottom w:val="single" w:color="070000" w:sz="12" w:space="0"/>
              <w:right w:val="single" w:color="070000" w:sz="12" w:space="0"/>
            </w:tcBorders>
          </w:tcPr>
          <w:p>
            <w:pPr>
              <w:jc w:val="center"/>
              <w:rPr>
                <w:color w:val="000000"/>
                <w:sz w:val="24"/>
                <w:lang w:val="en-US"/>
              </w:rPr>
            </w:pPr>
            <w:r>
              <w:rPr>
                <w:rFonts w:hint="eastAsia"/>
                <w:color w:val="000000"/>
                <w:sz w:val="24"/>
                <w:lang w:val="en-US"/>
              </w:rPr>
              <w:t>2</w:t>
            </w:r>
          </w:p>
        </w:tc>
        <w:tc>
          <w:tcPr>
            <w:tcW w:w="4617" w:type="dxa"/>
            <w:tcBorders>
              <w:top w:val="single" w:color="070000" w:sz="12" w:space="0"/>
              <w:left w:val="single" w:color="070000" w:sz="12" w:space="0"/>
              <w:bottom w:val="single" w:color="070000" w:sz="12" w:space="0"/>
              <w:right w:val="single" w:color="070000" w:sz="12" w:space="0"/>
            </w:tcBorders>
          </w:tcPr>
          <w:p>
            <w:pPr>
              <w:jc w:val="center"/>
              <w:rPr>
                <w:color w:val="000000"/>
                <w:sz w:val="24"/>
                <w:lang w:val="en-US"/>
              </w:rPr>
            </w:pPr>
            <w:r>
              <w:rPr>
                <w:rFonts w:hint="eastAsia"/>
                <w:color w:val="000000"/>
                <w:sz w:val="24"/>
                <w:lang w:val="en-US"/>
              </w:rPr>
              <w:t>硫化氢（mg/m³）</w:t>
            </w:r>
          </w:p>
        </w:tc>
        <w:tc>
          <w:tcPr>
            <w:tcW w:w="1766" w:type="dxa"/>
            <w:tcBorders>
              <w:top w:val="single" w:color="070000" w:sz="12" w:space="0"/>
              <w:left w:val="single" w:color="070000" w:sz="12" w:space="0"/>
              <w:bottom w:val="single" w:color="070000" w:sz="12" w:space="0"/>
            </w:tcBorders>
          </w:tcPr>
          <w:p>
            <w:pPr>
              <w:jc w:val="center"/>
              <w:rPr>
                <w:color w:val="000000"/>
                <w:sz w:val="24"/>
                <w:lang w:val="en-US"/>
              </w:rPr>
            </w:pPr>
            <w:r>
              <w:rPr>
                <w:rFonts w:hint="eastAsia"/>
                <w:color w:val="000000"/>
                <w:sz w:val="24"/>
                <w:lang w:val="en-US"/>
              </w:rPr>
              <w:t>0.03</w:t>
            </w:r>
          </w:p>
        </w:tc>
      </w:tr>
      <w:tr>
        <w:tblPrEx>
          <w:tblBorders>
            <w:top w:val="single" w:color="070000" w:sz="6" w:space="0"/>
            <w:left w:val="single" w:color="070000" w:sz="6" w:space="0"/>
            <w:bottom w:val="single" w:color="070000" w:sz="6" w:space="0"/>
            <w:right w:val="single" w:color="070000" w:sz="6" w:space="0"/>
            <w:insideH w:val="single" w:color="070000" w:sz="6" w:space="0"/>
            <w:insideV w:val="single" w:color="070000" w:sz="6" w:space="0"/>
          </w:tblBorders>
          <w:tblCellMar>
            <w:top w:w="0" w:type="dxa"/>
            <w:left w:w="0" w:type="dxa"/>
            <w:bottom w:w="0" w:type="dxa"/>
            <w:right w:w="0" w:type="dxa"/>
          </w:tblCellMar>
        </w:tblPrEx>
        <w:trPr>
          <w:trHeight w:val="506" w:hRule="atLeast"/>
        </w:trPr>
        <w:tc>
          <w:tcPr>
            <w:tcW w:w="2067" w:type="dxa"/>
            <w:tcBorders>
              <w:top w:val="single" w:color="070000" w:sz="12" w:space="0"/>
              <w:bottom w:val="single" w:color="070000" w:sz="12" w:space="0"/>
              <w:right w:val="single" w:color="070000" w:sz="12" w:space="0"/>
            </w:tcBorders>
          </w:tcPr>
          <w:p>
            <w:pPr>
              <w:jc w:val="center"/>
              <w:rPr>
                <w:color w:val="000000"/>
                <w:sz w:val="24"/>
                <w:lang w:val="en-US"/>
              </w:rPr>
            </w:pPr>
            <w:r>
              <w:rPr>
                <w:rFonts w:hint="eastAsia"/>
                <w:color w:val="000000"/>
                <w:sz w:val="24"/>
                <w:lang w:val="en-US"/>
              </w:rPr>
              <w:t>3</w:t>
            </w:r>
          </w:p>
        </w:tc>
        <w:tc>
          <w:tcPr>
            <w:tcW w:w="4617" w:type="dxa"/>
            <w:tcBorders>
              <w:top w:val="single" w:color="070000" w:sz="12" w:space="0"/>
              <w:left w:val="single" w:color="070000" w:sz="12" w:space="0"/>
              <w:bottom w:val="single" w:color="070000" w:sz="12" w:space="0"/>
              <w:right w:val="single" w:color="070000" w:sz="12" w:space="0"/>
            </w:tcBorders>
          </w:tcPr>
          <w:p>
            <w:pPr>
              <w:jc w:val="center"/>
              <w:rPr>
                <w:color w:val="000000"/>
                <w:sz w:val="24"/>
                <w:lang w:val="en-US"/>
              </w:rPr>
            </w:pPr>
            <w:r>
              <w:rPr>
                <w:rFonts w:hint="eastAsia"/>
                <w:color w:val="000000"/>
                <w:sz w:val="24"/>
                <w:lang w:val="en-US"/>
              </w:rPr>
              <w:t>臭气浓度（无量纲）</w:t>
            </w:r>
          </w:p>
        </w:tc>
        <w:tc>
          <w:tcPr>
            <w:tcW w:w="1766" w:type="dxa"/>
            <w:tcBorders>
              <w:top w:val="single" w:color="070000" w:sz="12" w:space="0"/>
              <w:left w:val="single" w:color="070000" w:sz="12" w:space="0"/>
              <w:bottom w:val="single" w:color="070000" w:sz="12" w:space="0"/>
            </w:tcBorders>
          </w:tcPr>
          <w:p>
            <w:pPr>
              <w:jc w:val="center"/>
              <w:rPr>
                <w:color w:val="000000"/>
                <w:sz w:val="24"/>
                <w:lang w:val="en-US"/>
              </w:rPr>
            </w:pPr>
            <w:r>
              <w:rPr>
                <w:rFonts w:hint="eastAsia"/>
                <w:color w:val="000000"/>
                <w:sz w:val="24"/>
                <w:lang w:val="en-US"/>
              </w:rPr>
              <w:t>10</w:t>
            </w:r>
          </w:p>
        </w:tc>
      </w:tr>
      <w:tr>
        <w:tblPrEx>
          <w:tblBorders>
            <w:top w:val="single" w:color="070000" w:sz="6" w:space="0"/>
            <w:left w:val="single" w:color="070000" w:sz="6" w:space="0"/>
            <w:bottom w:val="single" w:color="070000" w:sz="6" w:space="0"/>
            <w:right w:val="single" w:color="070000" w:sz="6" w:space="0"/>
            <w:insideH w:val="single" w:color="070000" w:sz="6" w:space="0"/>
            <w:insideV w:val="single" w:color="070000" w:sz="6" w:space="0"/>
          </w:tblBorders>
          <w:tblCellMar>
            <w:top w:w="0" w:type="dxa"/>
            <w:left w:w="0" w:type="dxa"/>
            <w:bottom w:w="0" w:type="dxa"/>
            <w:right w:w="0" w:type="dxa"/>
          </w:tblCellMar>
        </w:tblPrEx>
        <w:trPr>
          <w:trHeight w:val="506" w:hRule="atLeast"/>
        </w:trPr>
        <w:tc>
          <w:tcPr>
            <w:tcW w:w="2067" w:type="dxa"/>
            <w:tcBorders>
              <w:top w:val="single" w:color="070000" w:sz="12" w:space="0"/>
              <w:bottom w:val="single" w:color="070000" w:sz="12" w:space="0"/>
              <w:right w:val="single" w:color="070000" w:sz="12" w:space="0"/>
            </w:tcBorders>
          </w:tcPr>
          <w:p>
            <w:pPr>
              <w:jc w:val="center"/>
              <w:rPr>
                <w:color w:val="000000"/>
                <w:sz w:val="24"/>
                <w:lang w:val="en-US"/>
              </w:rPr>
            </w:pPr>
            <w:r>
              <w:rPr>
                <w:rFonts w:hint="eastAsia"/>
                <w:color w:val="000000"/>
                <w:sz w:val="24"/>
                <w:lang w:val="en-US"/>
              </w:rPr>
              <w:t>4</w:t>
            </w:r>
          </w:p>
        </w:tc>
        <w:tc>
          <w:tcPr>
            <w:tcW w:w="4617" w:type="dxa"/>
            <w:tcBorders>
              <w:top w:val="single" w:color="070000" w:sz="12" w:space="0"/>
              <w:left w:val="single" w:color="070000" w:sz="12" w:space="0"/>
              <w:bottom w:val="single" w:color="070000" w:sz="12" w:space="0"/>
              <w:right w:val="single" w:color="070000" w:sz="12" w:space="0"/>
            </w:tcBorders>
          </w:tcPr>
          <w:p>
            <w:pPr>
              <w:jc w:val="center"/>
              <w:rPr>
                <w:color w:val="000000"/>
                <w:sz w:val="24"/>
                <w:lang w:val="en-US"/>
              </w:rPr>
            </w:pPr>
            <w:r>
              <w:rPr>
                <w:rFonts w:hint="eastAsia"/>
                <w:color w:val="000000"/>
                <w:sz w:val="24"/>
                <w:lang w:val="en-US"/>
              </w:rPr>
              <w:t>氯气（mg/m³）</w:t>
            </w:r>
          </w:p>
        </w:tc>
        <w:tc>
          <w:tcPr>
            <w:tcW w:w="1766" w:type="dxa"/>
            <w:tcBorders>
              <w:top w:val="single" w:color="070000" w:sz="12" w:space="0"/>
              <w:left w:val="single" w:color="070000" w:sz="12" w:space="0"/>
              <w:bottom w:val="single" w:color="070000" w:sz="12" w:space="0"/>
            </w:tcBorders>
          </w:tcPr>
          <w:p>
            <w:pPr>
              <w:jc w:val="center"/>
              <w:rPr>
                <w:color w:val="000000"/>
                <w:sz w:val="24"/>
                <w:lang w:val="en-US"/>
              </w:rPr>
            </w:pPr>
            <w:r>
              <w:rPr>
                <w:rFonts w:hint="eastAsia"/>
                <w:color w:val="000000"/>
                <w:sz w:val="24"/>
                <w:lang w:val="en-US"/>
              </w:rPr>
              <w:t>0.1</w:t>
            </w:r>
          </w:p>
        </w:tc>
      </w:tr>
      <w:tr>
        <w:tblPrEx>
          <w:tblBorders>
            <w:top w:val="single" w:color="070000" w:sz="6" w:space="0"/>
            <w:left w:val="single" w:color="070000" w:sz="6" w:space="0"/>
            <w:bottom w:val="single" w:color="070000" w:sz="6" w:space="0"/>
            <w:right w:val="single" w:color="070000" w:sz="6" w:space="0"/>
            <w:insideH w:val="single" w:color="070000" w:sz="6" w:space="0"/>
            <w:insideV w:val="single" w:color="070000" w:sz="6" w:space="0"/>
          </w:tblBorders>
          <w:tblCellMar>
            <w:top w:w="0" w:type="dxa"/>
            <w:left w:w="0" w:type="dxa"/>
            <w:bottom w:w="0" w:type="dxa"/>
            <w:right w:w="0" w:type="dxa"/>
          </w:tblCellMar>
        </w:tblPrEx>
        <w:trPr>
          <w:trHeight w:val="506" w:hRule="atLeast"/>
        </w:trPr>
        <w:tc>
          <w:tcPr>
            <w:tcW w:w="2067" w:type="dxa"/>
            <w:tcBorders>
              <w:top w:val="single" w:color="070000" w:sz="12" w:space="0"/>
              <w:right w:val="single" w:color="070000" w:sz="12" w:space="0"/>
            </w:tcBorders>
          </w:tcPr>
          <w:p>
            <w:pPr>
              <w:jc w:val="center"/>
              <w:rPr>
                <w:color w:val="000000"/>
                <w:sz w:val="24"/>
                <w:lang w:val="en-US"/>
              </w:rPr>
            </w:pPr>
            <w:r>
              <w:rPr>
                <w:rFonts w:hint="eastAsia"/>
                <w:color w:val="000000"/>
                <w:sz w:val="24"/>
                <w:lang w:val="en-US"/>
              </w:rPr>
              <w:t>5</w:t>
            </w:r>
          </w:p>
        </w:tc>
        <w:tc>
          <w:tcPr>
            <w:tcW w:w="4617" w:type="dxa"/>
            <w:tcBorders>
              <w:top w:val="single" w:color="070000" w:sz="12" w:space="0"/>
              <w:left w:val="single" w:color="070000" w:sz="12" w:space="0"/>
              <w:right w:val="single" w:color="070000" w:sz="12" w:space="0"/>
            </w:tcBorders>
          </w:tcPr>
          <w:p>
            <w:pPr>
              <w:jc w:val="center"/>
              <w:rPr>
                <w:color w:val="000000"/>
                <w:sz w:val="24"/>
                <w:lang w:val="en-US"/>
              </w:rPr>
            </w:pPr>
            <w:r>
              <w:rPr>
                <w:rFonts w:hint="eastAsia"/>
                <w:color w:val="000000"/>
                <w:sz w:val="24"/>
                <w:lang w:val="en-US"/>
              </w:rPr>
              <w:t>甲烷（指处理站内最高体积百分数%）</w:t>
            </w:r>
          </w:p>
        </w:tc>
        <w:tc>
          <w:tcPr>
            <w:tcW w:w="1766" w:type="dxa"/>
            <w:tcBorders>
              <w:top w:val="single" w:color="070000" w:sz="12" w:space="0"/>
              <w:left w:val="single" w:color="070000" w:sz="12" w:space="0"/>
            </w:tcBorders>
          </w:tcPr>
          <w:p>
            <w:pPr>
              <w:jc w:val="center"/>
              <w:rPr>
                <w:color w:val="000000"/>
                <w:sz w:val="24"/>
                <w:lang w:val="en-US"/>
              </w:rPr>
            </w:pPr>
            <w:r>
              <w:rPr>
                <w:rFonts w:hint="eastAsia"/>
                <w:color w:val="000000"/>
                <w:sz w:val="24"/>
                <w:lang w:val="en-US"/>
              </w:rPr>
              <w:t>1%</w:t>
            </w:r>
          </w:p>
        </w:tc>
      </w:tr>
    </w:tbl>
    <w:p>
      <w:pPr>
        <w:pStyle w:val="10"/>
        <w:ind w:left="0" w:leftChars="0" w:firstLine="0" w:firstLineChars="0"/>
        <w:rPr>
          <w:rFonts w:eastAsia="宋体"/>
        </w:rPr>
      </w:pPr>
    </w:p>
    <w:p>
      <w:pPr>
        <w:rPr>
          <w:sz w:val="28"/>
          <w:szCs w:val="28"/>
        </w:rPr>
      </w:pPr>
      <w:r>
        <w:rPr>
          <w:rFonts w:hint="eastAsia"/>
          <w:sz w:val="28"/>
          <w:szCs w:val="28"/>
          <w:lang w:val="en-US"/>
        </w:rPr>
        <w:t>3）</w:t>
      </w:r>
      <w:r>
        <w:rPr>
          <w:rFonts w:hint="eastAsia"/>
          <w:sz w:val="28"/>
          <w:szCs w:val="28"/>
        </w:rPr>
        <w:t>污水站污泥处置要求： 符合《医疗机构水污染物排放标准</w:t>
      </w:r>
    </w:p>
    <w:p>
      <w:pPr>
        <w:rPr>
          <w:sz w:val="28"/>
          <w:szCs w:val="28"/>
        </w:rPr>
      </w:pPr>
      <w:r>
        <w:rPr>
          <w:rFonts w:hint="eastAsia"/>
          <w:sz w:val="28"/>
          <w:szCs w:val="28"/>
        </w:rPr>
        <w:t>（GB18466-2005）中的污泥控制与处置要求，定期压滤暂存最终由中标人交有资质的第三方单位处置。</w:t>
      </w:r>
    </w:p>
    <w:p>
      <w:pPr>
        <w:numPr>
          <w:ilvl w:val="0"/>
          <w:numId w:val="2"/>
        </w:numPr>
        <w:rPr>
          <w:b/>
          <w:bCs/>
          <w:sz w:val="28"/>
          <w:szCs w:val="28"/>
        </w:rPr>
      </w:pPr>
      <w:r>
        <w:rPr>
          <w:rFonts w:hint="eastAsia"/>
          <w:b/>
          <w:bCs/>
          <w:sz w:val="28"/>
          <w:szCs w:val="28"/>
        </w:rPr>
        <w:t>现场踏勘</w:t>
      </w:r>
    </w:p>
    <w:p>
      <w:pPr>
        <w:ind w:firstLine="560" w:firstLineChars="200"/>
        <w:rPr>
          <w:sz w:val="28"/>
          <w:szCs w:val="28"/>
        </w:rPr>
      </w:pPr>
      <w:r>
        <w:rPr>
          <w:rFonts w:hint="eastAsia"/>
          <w:sz w:val="28"/>
          <w:szCs w:val="28"/>
        </w:rPr>
        <w:t>投标人需前往项目运营现场踏勘并了解项目及设备实际情况，在投标报价中须考虑运营服务过程中须投入的人员、试剂、仪器及办公设备等内容（除现有配置外的设备由中标方根据需求自行添加），中标后</w:t>
      </w:r>
      <w:r>
        <w:rPr>
          <w:rFonts w:hint="eastAsia"/>
          <w:sz w:val="28"/>
          <w:szCs w:val="28"/>
          <w:lang w:eastAsia="zh-CN"/>
        </w:rPr>
        <w:t>采购</w:t>
      </w:r>
      <w:r>
        <w:rPr>
          <w:rFonts w:hint="eastAsia"/>
          <w:sz w:val="28"/>
          <w:szCs w:val="28"/>
        </w:rPr>
        <w:t>人不再另行支付</w:t>
      </w:r>
      <w:r>
        <w:rPr>
          <w:rFonts w:hint="eastAsia"/>
          <w:sz w:val="28"/>
          <w:szCs w:val="28"/>
          <w:lang w:val="en-US"/>
        </w:rPr>
        <w:t>除运营管理费外的</w:t>
      </w:r>
      <w:r>
        <w:rPr>
          <w:rFonts w:hint="eastAsia"/>
          <w:sz w:val="28"/>
          <w:szCs w:val="28"/>
        </w:rPr>
        <w:t>任何费用，且合同期内污水处理服务费单价不予调整。</w:t>
      </w:r>
    </w:p>
    <w:p>
      <w:pPr>
        <w:rPr>
          <w:b/>
          <w:bCs/>
          <w:sz w:val="28"/>
          <w:szCs w:val="28"/>
        </w:rPr>
      </w:pPr>
      <w:r>
        <w:rPr>
          <w:rFonts w:hint="eastAsia"/>
          <w:b/>
          <w:bCs/>
          <w:sz w:val="28"/>
          <w:szCs w:val="28"/>
        </w:rPr>
        <w:t>4.运营内容</w:t>
      </w:r>
    </w:p>
    <w:p>
      <w:pPr>
        <w:pStyle w:val="5"/>
        <w:ind w:firstLine="840" w:firstLineChars="300"/>
        <w:rPr>
          <w:sz w:val="28"/>
          <w:szCs w:val="28"/>
        </w:rPr>
      </w:pPr>
      <w:r>
        <w:rPr>
          <w:rFonts w:hint="eastAsia"/>
          <w:sz w:val="28"/>
          <w:szCs w:val="28"/>
        </w:rPr>
        <w:t>服务期内污水处理运营管理所包含的全部内容，包括提供污水处理站内设备运营维护、污泥收集、每年清理池底至少1次、设备日常维护检修更换（</w:t>
      </w:r>
      <w:r>
        <w:rPr>
          <w:rFonts w:hint="eastAsia"/>
          <w:sz w:val="28"/>
          <w:szCs w:val="28"/>
          <w:lang w:val="en-US"/>
        </w:rPr>
        <w:t>含500元以内设备或配件</w:t>
      </w:r>
      <w:r>
        <w:rPr>
          <w:rFonts w:hint="eastAsia"/>
          <w:sz w:val="28"/>
          <w:szCs w:val="28"/>
        </w:rPr>
        <w:t>）、水质检测及分析化验、相关人员配备以及培训与管理、安全管理、运维记录及技术资料等档案管理、信息汇报等保证污水站正常运营的所有内容。</w:t>
      </w:r>
    </w:p>
    <w:p>
      <w:pPr>
        <w:rPr>
          <w:b/>
          <w:bCs/>
          <w:sz w:val="28"/>
          <w:szCs w:val="28"/>
        </w:rPr>
      </w:pPr>
      <w:r>
        <w:rPr>
          <w:rFonts w:hint="eastAsia"/>
          <w:b/>
          <w:bCs/>
          <w:sz w:val="28"/>
          <w:szCs w:val="28"/>
        </w:rPr>
        <w:t>5.运营要求</w:t>
      </w:r>
    </w:p>
    <w:p>
      <w:pPr>
        <w:pStyle w:val="5"/>
        <w:rPr>
          <w:sz w:val="28"/>
          <w:szCs w:val="28"/>
        </w:rPr>
      </w:pPr>
      <w:r>
        <w:rPr>
          <w:rFonts w:hint="eastAsia"/>
          <w:sz w:val="28"/>
          <w:szCs w:val="28"/>
          <w:lang w:val="en-US"/>
        </w:rPr>
        <w:t>5.1.</w:t>
      </w:r>
      <w:r>
        <w:rPr>
          <w:rFonts w:hint="eastAsia"/>
          <w:sz w:val="28"/>
          <w:szCs w:val="28"/>
        </w:rPr>
        <w:t>进、出水水质监测要求：</w:t>
      </w:r>
    </w:p>
    <w:p>
      <w:pPr>
        <w:numPr>
          <w:ilvl w:val="0"/>
          <w:numId w:val="3"/>
        </w:numPr>
        <w:rPr>
          <w:sz w:val="28"/>
          <w:szCs w:val="28"/>
        </w:rPr>
      </w:pPr>
      <w:r>
        <w:rPr>
          <w:rFonts w:hint="eastAsia"/>
          <w:sz w:val="28"/>
          <w:szCs w:val="28"/>
        </w:rPr>
        <w:t>运营方自检：运营单位安排专职实验人员，对污水处理站的进水、出水进行取样检测分析，每周对</w:t>
      </w:r>
      <w:r>
        <w:rPr>
          <w:rFonts w:hint="eastAsia"/>
          <w:sz w:val="28"/>
          <w:szCs w:val="28"/>
          <w:lang w:val="en-US"/>
        </w:rPr>
        <w:t>各排放口</w:t>
      </w:r>
      <w:r>
        <w:rPr>
          <w:rFonts w:hint="eastAsia"/>
          <w:sz w:val="28"/>
          <w:szCs w:val="28"/>
        </w:rPr>
        <w:t>水样进行不得少于 1 次的检测，保证污水排放符合</w:t>
      </w:r>
      <w:r>
        <w:rPr>
          <w:rFonts w:hint="eastAsia"/>
          <w:sz w:val="28"/>
          <w:szCs w:val="28"/>
          <w:lang w:val="en-US"/>
        </w:rPr>
        <w:t>相应排放口的排放标准</w:t>
      </w:r>
      <w:r>
        <w:rPr>
          <w:rFonts w:hint="eastAsia"/>
          <w:sz w:val="28"/>
          <w:szCs w:val="28"/>
        </w:rPr>
        <w:t>。每周实验数据汇总整理成实验报表，每月定期汇总实验记录上报医院。</w:t>
      </w:r>
    </w:p>
    <w:p>
      <w:pPr>
        <w:numPr>
          <w:ilvl w:val="0"/>
          <w:numId w:val="3"/>
        </w:numPr>
      </w:pPr>
      <w:r>
        <w:rPr>
          <w:rFonts w:hint="eastAsia"/>
          <w:sz w:val="28"/>
          <w:szCs w:val="28"/>
        </w:rPr>
        <w:t>第三方检测：</w:t>
      </w:r>
      <w:r>
        <w:rPr>
          <w:rFonts w:hint="eastAsia"/>
          <w:sz w:val="28"/>
          <w:szCs w:val="28"/>
          <w:lang w:val="en-US"/>
        </w:rPr>
        <w:t>运营单位按照以下频率定期委托环保局环境监测站或有 CMA 资质的第三方机构对各院区排放口出水水质进行取样检测，检测频率如下</w:t>
      </w:r>
      <w:r>
        <w:rPr>
          <w:rFonts w:hint="eastAsia"/>
          <w:sz w:val="28"/>
          <w:szCs w:val="28"/>
        </w:rPr>
        <w:t>。（</w:t>
      </w:r>
      <w:r>
        <w:rPr>
          <w:rFonts w:hint="eastAsia"/>
          <w:sz w:val="28"/>
          <w:szCs w:val="28"/>
          <w:lang w:val="en-US"/>
        </w:rPr>
        <w:t>检测频率来源于医疗机构水污染物排放标准《GB18466-2005》</w:t>
      </w:r>
      <w:r>
        <w:rPr>
          <w:rFonts w:hint="eastAsia"/>
          <w:sz w:val="28"/>
          <w:szCs w:val="28"/>
        </w:rPr>
        <w:t>）</w:t>
      </w:r>
    </w:p>
    <w:tbl>
      <w:tblPr>
        <w:tblStyle w:val="11"/>
        <w:tblW w:w="0" w:type="auto"/>
        <w:tblCellSpacing w:w="0" w:type="dxa"/>
        <w:tblInd w:w="15" w:type="dxa"/>
        <w:tblLayout w:type="fixed"/>
        <w:tblCellMar>
          <w:top w:w="0" w:type="dxa"/>
          <w:left w:w="0" w:type="dxa"/>
          <w:bottom w:w="0" w:type="dxa"/>
          <w:right w:w="0" w:type="dxa"/>
        </w:tblCellMar>
      </w:tblPr>
      <w:tblGrid>
        <w:gridCol w:w="944"/>
        <w:gridCol w:w="714"/>
        <w:gridCol w:w="714"/>
        <w:gridCol w:w="714"/>
        <w:gridCol w:w="714"/>
        <w:gridCol w:w="716"/>
        <w:gridCol w:w="1332"/>
        <w:gridCol w:w="1332"/>
        <w:gridCol w:w="1332"/>
      </w:tblGrid>
      <w:tr>
        <w:tblPrEx>
          <w:tblCellMar>
            <w:top w:w="0" w:type="dxa"/>
            <w:left w:w="0" w:type="dxa"/>
            <w:bottom w:w="0" w:type="dxa"/>
            <w:right w:w="0" w:type="dxa"/>
          </w:tblCellMar>
        </w:tblPrEx>
        <w:trPr>
          <w:trHeight w:val="929" w:hRule="atLeast"/>
          <w:tblCellSpacing w:w="0" w:type="dxa"/>
        </w:trPr>
        <w:tc>
          <w:tcPr>
            <w:tcW w:w="944"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指标名称</w:t>
            </w:r>
          </w:p>
        </w:tc>
        <w:tc>
          <w:tcPr>
            <w:tcW w:w="714"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PH</w:t>
            </w:r>
          </w:p>
        </w:tc>
        <w:tc>
          <w:tcPr>
            <w:tcW w:w="714"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COD</w:t>
            </w:r>
          </w:p>
        </w:tc>
        <w:tc>
          <w:tcPr>
            <w:tcW w:w="714"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BOD</w:t>
            </w:r>
          </w:p>
        </w:tc>
        <w:tc>
          <w:tcPr>
            <w:tcW w:w="714"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SS</w:t>
            </w:r>
          </w:p>
        </w:tc>
        <w:tc>
          <w:tcPr>
            <w:tcW w:w="716"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氨氮</w:t>
            </w:r>
          </w:p>
        </w:tc>
        <w:tc>
          <w:tcPr>
            <w:tcW w:w="1332"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粪大肠菌群数</w:t>
            </w:r>
          </w:p>
        </w:tc>
        <w:tc>
          <w:tcPr>
            <w:tcW w:w="1332"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沙门氏菌</w:t>
            </w:r>
          </w:p>
        </w:tc>
        <w:tc>
          <w:tcPr>
            <w:tcW w:w="1332"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志贺氏菌</w:t>
            </w:r>
          </w:p>
        </w:tc>
      </w:tr>
      <w:tr>
        <w:tblPrEx>
          <w:tblCellMar>
            <w:top w:w="0" w:type="dxa"/>
            <w:left w:w="0" w:type="dxa"/>
            <w:bottom w:w="0" w:type="dxa"/>
            <w:right w:w="0" w:type="dxa"/>
          </w:tblCellMar>
        </w:tblPrEx>
        <w:trPr>
          <w:trHeight w:val="929" w:hRule="atLeast"/>
          <w:tblCellSpacing w:w="0" w:type="dxa"/>
        </w:trPr>
        <w:tc>
          <w:tcPr>
            <w:tcW w:w="944" w:type="dxa"/>
            <w:tcBorders>
              <w:top w:val="single" w:color="080000" w:sz="6" w:space="0"/>
              <w:left w:val="single" w:color="080000" w:sz="6" w:space="0"/>
              <w:bottom w:val="single" w:color="080000" w:sz="6" w:space="0"/>
              <w:right w:val="single" w:color="080000" w:sz="6" w:space="0"/>
            </w:tcBorders>
            <w:tcMar>
              <w:left w:w="108" w:type="dxa"/>
              <w:right w:w="108" w:type="dxa"/>
            </w:tcMar>
            <w:vAlign w:val="center"/>
          </w:tcPr>
          <w:p>
            <w:pPr>
              <w:jc w:val="center"/>
              <w:rPr>
                <w:color w:val="000000"/>
                <w:sz w:val="24"/>
                <w:lang w:val="en-US"/>
              </w:rPr>
            </w:pPr>
            <w:r>
              <w:rPr>
                <w:rFonts w:hint="eastAsia"/>
                <w:color w:val="000000"/>
                <w:sz w:val="24"/>
                <w:lang w:val="en-US"/>
              </w:rPr>
              <w:t>检测频率</w:t>
            </w:r>
          </w:p>
        </w:tc>
        <w:tc>
          <w:tcPr>
            <w:tcW w:w="3572" w:type="dxa"/>
            <w:gridSpan w:val="5"/>
            <w:tcBorders>
              <w:top w:val="single" w:color="080000" w:sz="6" w:space="0"/>
              <w:left w:val="single" w:color="080000" w:sz="6" w:space="0"/>
              <w:bottom w:val="single" w:color="080000" w:sz="6" w:space="0"/>
              <w:right w:val="single" w:color="080000" w:sz="6" w:space="0"/>
            </w:tcBorders>
            <w:tcMar>
              <w:left w:w="108" w:type="dxa"/>
              <w:right w:w="108" w:type="dxa"/>
            </w:tcMar>
            <w:vAlign w:val="center"/>
          </w:tcPr>
          <w:p>
            <w:pPr>
              <w:jc w:val="center"/>
              <w:rPr>
                <w:color w:val="000000"/>
                <w:sz w:val="24"/>
                <w:lang w:val="en-US"/>
              </w:rPr>
            </w:pPr>
            <w:r>
              <w:rPr>
                <w:rFonts w:hint="eastAsia"/>
                <w:color w:val="000000"/>
                <w:sz w:val="24"/>
                <w:lang w:val="en-US"/>
              </w:rPr>
              <w:t>1次/季度</w:t>
            </w:r>
          </w:p>
        </w:tc>
        <w:tc>
          <w:tcPr>
            <w:tcW w:w="1332" w:type="dxa"/>
            <w:tcBorders>
              <w:top w:val="single" w:color="080000" w:sz="6" w:space="0"/>
              <w:left w:val="single" w:color="080000" w:sz="6" w:space="0"/>
              <w:bottom w:val="single" w:color="080000" w:sz="6" w:space="0"/>
              <w:right w:val="single" w:color="080000" w:sz="6" w:space="0"/>
            </w:tcBorders>
            <w:tcMar>
              <w:left w:w="108" w:type="dxa"/>
              <w:right w:w="108" w:type="dxa"/>
            </w:tcMar>
            <w:vAlign w:val="center"/>
          </w:tcPr>
          <w:p>
            <w:pPr>
              <w:jc w:val="center"/>
              <w:rPr>
                <w:color w:val="000000"/>
                <w:sz w:val="24"/>
                <w:lang w:val="en-US"/>
              </w:rPr>
            </w:pPr>
            <w:r>
              <w:rPr>
                <w:rFonts w:hint="eastAsia"/>
                <w:color w:val="000000"/>
                <w:sz w:val="24"/>
                <w:lang w:val="en-US"/>
              </w:rPr>
              <w:t>1次/月</w:t>
            </w:r>
          </w:p>
        </w:tc>
        <w:tc>
          <w:tcPr>
            <w:tcW w:w="1332" w:type="dxa"/>
            <w:tcBorders>
              <w:top w:val="single" w:color="080000" w:sz="6" w:space="0"/>
              <w:left w:val="single" w:color="080000" w:sz="6" w:space="0"/>
              <w:bottom w:val="single" w:color="080000" w:sz="6" w:space="0"/>
              <w:right w:val="single" w:color="080000" w:sz="6" w:space="0"/>
            </w:tcBorders>
            <w:tcMar>
              <w:left w:w="108" w:type="dxa"/>
              <w:right w:w="108" w:type="dxa"/>
            </w:tcMar>
            <w:vAlign w:val="center"/>
          </w:tcPr>
          <w:p>
            <w:pPr>
              <w:jc w:val="center"/>
              <w:rPr>
                <w:color w:val="000000"/>
                <w:sz w:val="24"/>
                <w:lang w:val="en-US"/>
              </w:rPr>
            </w:pPr>
            <w:r>
              <w:rPr>
                <w:rFonts w:hint="eastAsia"/>
                <w:color w:val="000000"/>
                <w:sz w:val="24"/>
                <w:lang w:val="en-US"/>
              </w:rPr>
              <w:t>1次/季度</w:t>
            </w:r>
          </w:p>
        </w:tc>
        <w:tc>
          <w:tcPr>
            <w:tcW w:w="1332" w:type="dxa"/>
            <w:tcBorders>
              <w:top w:val="single" w:color="080000" w:sz="6" w:space="0"/>
              <w:left w:val="single" w:color="080000" w:sz="6" w:space="0"/>
              <w:bottom w:val="single" w:color="080000" w:sz="6" w:space="0"/>
              <w:right w:val="single" w:color="080000" w:sz="6" w:space="0"/>
            </w:tcBorders>
            <w:tcMar>
              <w:left w:w="108" w:type="dxa"/>
              <w:right w:w="108" w:type="dxa"/>
            </w:tcMar>
            <w:vAlign w:val="center"/>
          </w:tcPr>
          <w:p>
            <w:pPr>
              <w:jc w:val="center"/>
              <w:rPr>
                <w:color w:val="000000"/>
                <w:sz w:val="24"/>
                <w:lang w:val="en-US"/>
              </w:rPr>
            </w:pPr>
            <w:r>
              <w:rPr>
                <w:rFonts w:hint="eastAsia"/>
                <w:color w:val="000000"/>
                <w:sz w:val="24"/>
                <w:lang w:val="en-US"/>
              </w:rPr>
              <w:t>1次/半年</w:t>
            </w:r>
          </w:p>
        </w:tc>
      </w:tr>
    </w:tbl>
    <w:p>
      <w:pPr>
        <w:rPr>
          <w:sz w:val="28"/>
          <w:szCs w:val="28"/>
        </w:rPr>
      </w:pPr>
      <w:r>
        <w:rPr>
          <w:rFonts w:hint="eastAsia"/>
          <w:sz w:val="28"/>
          <w:szCs w:val="28"/>
          <w:lang w:val="en-US"/>
        </w:rPr>
        <w:t>3、</w:t>
      </w:r>
      <w:r>
        <w:rPr>
          <w:rFonts w:hint="eastAsia"/>
          <w:sz w:val="28"/>
          <w:szCs w:val="28"/>
          <w:lang w:eastAsia="zh-CN"/>
        </w:rPr>
        <w:t>采购</w:t>
      </w:r>
      <w:r>
        <w:rPr>
          <w:rFonts w:hint="eastAsia"/>
          <w:sz w:val="28"/>
          <w:szCs w:val="28"/>
        </w:rPr>
        <w:t>人抽检：</w:t>
      </w:r>
      <w:r>
        <w:rPr>
          <w:rFonts w:hint="eastAsia"/>
          <w:sz w:val="28"/>
          <w:szCs w:val="28"/>
          <w:lang w:eastAsia="zh-CN"/>
        </w:rPr>
        <w:t>采购</w:t>
      </w:r>
      <w:r>
        <w:rPr>
          <w:rFonts w:hint="eastAsia"/>
          <w:sz w:val="28"/>
          <w:szCs w:val="28"/>
        </w:rPr>
        <w:t>人有权不定期自行或委托第三方对出水水质进行检测， 合同期内累计三次不达标的，</w:t>
      </w:r>
      <w:r>
        <w:rPr>
          <w:rFonts w:hint="eastAsia"/>
          <w:sz w:val="28"/>
          <w:szCs w:val="28"/>
          <w:lang w:eastAsia="zh-CN"/>
        </w:rPr>
        <w:t>采购</w:t>
      </w:r>
      <w:r>
        <w:rPr>
          <w:rFonts w:hint="eastAsia"/>
          <w:sz w:val="28"/>
          <w:szCs w:val="28"/>
        </w:rPr>
        <w:t>人有权单方面解除合同，并且不需要支付任何赔偿或补偿。</w:t>
      </w:r>
    </w:p>
    <w:p>
      <w:pPr>
        <w:rPr>
          <w:sz w:val="28"/>
          <w:szCs w:val="28"/>
        </w:rPr>
      </w:pPr>
      <w:r>
        <w:rPr>
          <w:rFonts w:hint="eastAsia"/>
          <w:sz w:val="28"/>
          <w:szCs w:val="28"/>
          <w:lang w:val="en-US"/>
        </w:rPr>
        <w:t>4、</w:t>
      </w:r>
      <w:r>
        <w:rPr>
          <w:rFonts w:hint="eastAsia"/>
          <w:sz w:val="28"/>
          <w:szCs w:val="28"/>
        </w:rPr>
        <w:t>环保部门监测：环保部门按国家有关规定进行监测（强制监测）。</w:t>
      </w:r>
    </w:p>
    <w:p>
      <w:pPr>
        <w:rPr>
          <w:sz w:val="28"/>
          <w:szCs w:val="28"/>
        </w:rPr>
      </w:pPr>
      <w:r>
        <w:rPr>
          <w:rFonts w:hint="eastAsia"/>
          <w:sz w:val="28"/>
          <w:szCs w:val="28"/>
          <w:lang w:val="en-US"/>
        </w:rPr>
        <w:t>5、</w:t>
      </w:r>
      <w:r>
        <w:rPr>
          <w:rFonts w:hint="eastAsia"/>
          <w:sz w:val="28"/>
          <w:szCs w:val="28"/>
        </w:rPr>
        <w:t>将相关监测数据登记在册，定期汇总实验记录上报医院，保证污水排放符合</w:t>
      </w:r>
      <w:r>
        <w:rPr>
          <w:rFonts w:hint="eastAsia"/>
          <w:sz w:val="28"/>
          <w:szCs w:val="28"/>
          <w:lang w:val="en-US"/>
        </w:rPr>
        <w:t>各排口排放标准</w:t>
      </w:r>
      <w:r>
        <w:rPr>
          <w:rFonts w:hint="eastAsia"/>
          <w:sz w:val="28"/>
          <w:szCs w:val="28"/>
        </w:rPr>
        <w:t>。</w:t>
      </w:r>
    </w:p>
    <w:p>
      <w:pPr>
        <w:rPr>
          <w:sz w:val="28"/>
          <w:szCs w:val="28"/>
        </w:rPr>
      </w:pPr>
      <w:r>
        <w:rPr>
          <w:rFonts w:hint="eastAsia"/>
          <w:sz w:val="28"/>
          <w:szCs w:val="28"/>
          <w:lang w:val="en-US"/>
        </w:rPr>
        <w:t>6、</w:t>
      </w:r>
      <w:r>
        <w:rPr>
          <w:rFonts w:hint="eastAsia"/>
          <w:sz w:val="28"/>
          <w:szCs w:val="28"/>
        </w:rPr>
        <w:t>监测频率</w:t>
      </w:r>
    </w:p>
    <w:p>
      <w:pPr>
        <w:rPr>
          <w:sz w:val="28"/>
          <w:szCs w:val="28"/>
        </w:rPr>
      </w:pPr>
      <w:r>
        <w:rPr>
          <w:rFonts w:hint="eastAsia"/>
          <w:sz w:val="28"/>
          <w:szCs w:val="28"/>
          <w:lang w:val="en-US"/>
        </w:rPr>
        <w:t>1）</w:t>
      </w:r>
      <w:r>
        <w:rPr>
          <w:rFonts w:hint="eastAsia"/>
          <w:sz w:val="28"/>
          <w:szCs w:val="28"/>
        </w:rPr>
        <w:t>粪大肠菌群数每月监测不得少于1次。采用含氯消毒剂消毒时， 接触池出口总余氯每日监测不得少于2次。</w:t>
      </w:r>
    </w:p>
    <w:p>
      <w:pPr>
        <w:rPr>
          <w:sz w:val="28"/>
          <w:szCs w:val="28"/>
          <w:lang w:val="en-US"/>
        </w:rPr>
      </w:pPr>
      <w:r>
        <w:rPr>
          <w:rFonts w:hint="eastAsia"/>
          <w:sz w:val="28"/>
          <w:szCs w:val="28"/>
          <w:lang w:val="en-US"/>
        </w:rPr>
        <w:t>2）</w:t>
      </w:r>
      <w:r>
        <w:rPr>
          <w:rFonts w:hint="eastAsia"/>
          <w:sz w:val="28"/>
          <w:szCs w:val="28"/>
        </w:rPr>
        <w:t>肠道致病菌主要监测沙门氏菌、志贺氏菌。沙门氏菌的监测， 每季度不少于1次；志贺氏菌的监测，每年不少于2次。</w:t>
      </w:r>
      <w:r>
        <w:rPr>
          <w:rFonts w:hint="eastAsia"/>
          <w:sz w:val="28"/>
          <w:szCs w:val="28"/>
          <w:lang w:val="en-US"/>
        </w:rPr>
        <w:t>结核病医疗机构根据需要监测结核杆菌。</w:t>
      </w:r>
    </w:p>
    <w:p>
      <w:pPr>
        <w:rPr>
          <w:sz w:val="28"/>
          <w:szCs w:val="28"/>
        </w:rPr>
      </w:pPr>
      <w:r>
        <w:rPr>
          <w:rFonts w:hint="eastAsia"/>
          <w:sz w:val="28"/>
          <w:szCs w:val="28"/>
          <w:lang w:val="en-US"/>
        </w:rPr>
        <w:t>3）</w:t>
      </w:r>
      <w:r>
        <w:rPr>
          <w:rFonts w:hint="eastAsia"/>
          <w:sz w:val="28"/>
          <w:szCs w:val="28"/>
        </w:rPr>
        <w:t>收治了传染病病人</w:t>
      </w:r>
      <w:r>
        <w:rPr>
          <w:rFonts w:hint="eastAsia"/>
          <w:sz w:val="28"/>
          <w:szCs w:val="28"/>
          <w:lang w:val="en-US"/>
        </w:rPr>
        <w:t>时</w:t>
      </w:r>
      <w:r>
        <w:rPr>
          <w:rFonts w:hint="eastAsia"/>
          <w:sz w:val="28"/>
          <w:szCs w:val="28"/>
        </w:rPr>
        <w:t>应加强对肠道致病菌和肠道病毒的监测。同时收治的感染上同一种肠道致病菌或肠道病毒的甲类传染病病人数超过5人、或乙类传染病病人数超过10人、或丙类传染病病人数超过20人时，应及时监测该种传染病病原体。</w:t>
      </w:r>
    </w:p>
    <w:p>
      <w:pPr>
        <w:rPr>
          <w:sz w:val="28"/>
          <w:szCs w:val="28"/>
        </w:rPr>
      </w:pPr>
      <w:r>
        <w:rPr>
          <w:rFonts w:hint="eastAsia"/>
          <w:sz w:val="28"/>
          <w:szCs w:val="28"/>
          <w:lang w:val="en-US"/>
        </w:rPr>
        <w:t>4）</w:t>
      </w:r>
      <w:r>
        <w:rPr>
          <w:rFonts w:hint="eastAsia"/>
          <w:sz w:val="28"/>
          <w:szCs w:val="28"/>
        </w:rPr>
        <w:t>理化指标监测频率：pH 每日监测不少于2次，COD和SS每周监测1次，其他污染物每季度监测不少于1次。</w:t>
      </w:r>
    </w:p>
    <w:p>
      <w:pPr>
        <w:rPr>
          <w:sz w:val="28"/>
          <w:szCs w:val="28"/>
        </w:rPr>
      </w:pPr>
      <w:r>
        <w:rPr>
          <w:rFonts w:hint="eastAsia"/>
          <w:sz w:val="28"/>
          <w:szCs w:val="28"/>
          <w:lang w:val="en-US"/>
        </w:rPr>
        <w:t>5）</w:t>
      </w:r>
      <w:r>
        <w:rPr>
          <w:rFonts w:hint="eastAsia"/>
          <w:sz w:val="28"/>
          <w:szCs w:val="28"/>
        </w:rPr>
        <w:t>采样频率：每4小时采样1次，一日至少采样3次，测定结果以日均值计。</w:t>
      </w:r>
    </w:p>
    <w:p>
      <w:pPr>
        <w:rPr>
          <w:sz w:val="28"/>
          <w:szCs w:val="28"/>
        </w:rPr>
      </w:pPr>
      <w:r>
        <w:rPr>
          <w:rFonts w:hint="eastAsia"/>
          <w:sz w:val="28"/>
          <w:szCs w:val="28"/>
        </w:rPr>
        <w:t>5.2.设备及系统的管理要求</w:t>
      </w:r>
    </w:p>
    <w:p>
      <w:pPr>
        <w:pStyle w:val="5"/>
        <w:rPr>
          <w:sz w:val="28"/>
          <w:szCs w:val="28"/>
        </w:rPr>
      </w:pPr>
      <w:r>
        <w:rPr>
          <w:rFonts w:hint="eastAsia"/>
          <w:sz w:val="28"/>
          <w:szCs w:val="28"/>
          <w:lang w:val="en-US"/>
        </w:rPr>
        <w:t>1）</w:t>
      </w:r>
      <w:r>
        <w:rPr>
          <w:rFonts w:hint="eastAsia"/>
          <w:sz w:val="28"/>
          <w:szCs w:val="28"/>
        </w:rPr>
        <w:t>完善设备、设施资料，制定设备、设施维修保养制度，并严格执行，各种设备要精心保养维护，保持其处于最佳工作状态。</w:t>
      </w:r>
      <w:r>
        <w:rPr>
          <w:rFonts w:hint="eastAsia"/>
          <w:sz w:val="28"/>
          <w:szCs w:val="28"/>
          <w:lang w:val="en-US"/>
        </w:rPr>
        <w:t>维保过程中，500元以内的设备或配件，采购费用由运营方承担，并由运营方免费安装维修调试；超过500元以上的设备或配件，由</w:t>
      </w:r>
      <w:r>
        <w:rPr>
          <w:rFonts w:hint="eastAsia"/>
          <w:sz w:val="28"/>
          <w:szCs w:val="28"/>
          <w:lang w:val="en-US" w:eastAsia="zh-CN"/>
        </w:rPr>
        <w:t>采购</w:t>
      </w:r>
      <w:r>
        <w:rPr>
          <w:rFonts w:hint="eastAsia"/>
          <w:sz w:val="28"/>
          <w:szCs w:val="28"/>
          <w:lang w:val="en-US"/>
        </w:rPr>
        <w:t>人采购，采购费用由</w:t>
      </w:r>
      <w:r>
        <w:rPr>
          <w:rFonts w:hint="eastAsia"/>
          <w:sz w:val="28"/>
          <w:szCs w:val="28"/>
          <w:lang w:val="en-US" w:eastAsia="zh-CN"/>
        </w:rPr>
        <w:t>采购</w:t>
      </w:r>
      <w:r>
        <w:rPr>
          <w:rFonts w:hint="eastAsia"/>
          <w:sz w:val="28"/>
          <w:szCs w:val="28"/>
          <w:lang w:val="en-US"/>
        </w:rPr>
        <w:t>人承担，运营方负责免费安装维修调试。</w:t>
      </w:r>
    </w:p>
    <w:p>
      <w:pPr>
        <w:rPr>
          <w:sz w:val="28"/>
          <w:szCs w:val="28"/>
        </w:rPr>
      </w:pPr>
      <w:r>
        <w:rPr>
          <w:rFonts w:hint="eastAsia"/>
          <w:sz w:val="28"/>
          <w:szCs w:val="28"/>
          <w:lang w:val="en-US"/>
        </w:rPr>
        <w:t>2）</w:t>
      </w:r>
      <w:r>
        <w:rPr>
          <w:rFonts w:hint="eastAsia"/>
          <w:sz w:val="28"/>
          <w:szCs w:val="28"/>
        </w:rPr>
        <w:t>污水处理系统运行期间要认真巡回检查，并做记录，发现异常情况及时妥善处理，跟踪处理结果及其对污水处理系统带来的影响。在系统运行过程中要保证有专人看管。</w:t>
      </w:r>
    </w:p>
    <w:p>
      <w:pPr>
        <w:rPr>
          <w:sz w:val="28"/>
          <w:szCs w:val="28"/>
        </w:rPr>
      </w:pPr>
      <w:r>
        <w:rPr>
          <w:rFonts w:hint="eastAsia"/>
          <w:sz w:val="28"/>
          <w:szCs w:val="28"/>
          <w:lang w:val="en-US"/>
        </w:rPr>
        <w:t>3）</w:t>
      </w:r>
      <w:r>
        <w:rPr>
          <w:rFonts w:hint="eastAsia"/>
          <w:sz w:val="28"/>
          <w:szCs w:val="28"/>
        </w:rPr>
        <w:t>派维护保养人员对污水站运行设备进行维护保养，保存设备维护保养记录，形成设备维护记录档案。建立运行管理制度、设备操作规范及危险药品污水处理站运营管理服务管理制度等相关制度并统一定制上墙。</w:t>
      </w:r>
    </w:p>
    <w:p>
      <w:pPr>
        <w:rPr>
          <w:sz w:val="28"/>
          <w:szCs w:val="28"/>
        </w:rPr>
      </w:pPr>
      <w:r>
        <w:rPr>
          <w:rFonts w:hint="eastAsia"/>
          <w:sz w:val="28"/>
          <w:szCs w:val="28"/>
          <w:lang w:val="en-US"/>
        </w:rPr>
        <w:t>4）</w:t>
      </w:r>
      <w:r>
        <w:rPr>
          <w:rFonts w:hint="eastAsia"/>
          <w:sz w:val="28"/>
          <w:szCs w:val="28"/>
          <w:highlight w:val="yellow"/>
        </w:rPr>
        <w:t>运行技术人员和设备维修人员，全天待令，一旦接到医院污水站现场操作人员反应设备故障</w:t>
      </w:r>
      <w:r>
        <w:rPr>
          <w:rFonts w:hint="eastAsia"/>
          <w:sz w:val="28"/>
          <w:szCs w:val="28"/>
          <w:highlight w:val="yellow"/>
          <w:lang w:val="en-US" w:eastAsia="zh-CN"/>
        </w:rPr>
        <w:t>30分钟</w:t>
      </w:r>
      <w:r>
        <w:rPr>
          <w:rFonts w:hint="eastAsia"/>
          <w:sz w:val="28"/>
          <w:szCs w:val="28"/>
          <w:highlight w:val="yellow"/>
        </w:rPr>
        <w:t>以内到达现场，处理问题。</w:t>
      </w:r>
    </w:p>
    <w:p>
      <w:pPr>
        <w:rPr>
          <w:sz w:val="28"/>
          <w:szCs w:val="28"/>
        </w:rPr>
      </w:pPr>
      <w:r>
        <w:rPr>
          <w:rFonts w:hint="eastAsia"/>
          <w:sz w:val="28"/>
          <w:szCs w:val="28"/>
          <w:lang w:val="en-US"/>
        </w:rPr>
        <w:t>5）</w:t>
      </w:r>
      <w:r>
        <w:rPr>
          <w:rFonts w:hint="eastAsia"/>
          <w:sz w:val="28"/>
          <w:szCs w:val="28"/>
        </w:rPr>
        <w:t>中标人应将运营记录、设备维护记录、检修记录、操作人员交接班记录、加药记录、季度运营报告及每季度的检测报告，按季度汇总报送</w:t>
      </w:r>
      <w:r>
        <w:rPr>
          <w:rFonts w:hint="eastAsia"/>
          <w:sz w:val="28"/>
          <w:szCs w:val="28"/>
          <w:lang w:eastAsia="zh-CN"/>
        </w:rPr>
        <w:t>采购</w:t>
      </w:r>
      <w:r>
        <w:rPr>
          <w:rFonts w:hint="eastAsia"/>
          <w:sz w:val="28"/>
          <w:szCs w:val="28"/>
        </w:rPr>
        <w:t>方。</w:t>
      </w:r>
    </w:p>
    <w:p>
      <w:pPr>
        <w:pStyle w:val="5"/>
        <w:rPr>
          <w:sz w:val="28"/>
          <w:szCs w:val="28"/>
        </w:rPr>
      </w:pPr>
      <w:r>
        <w:rPr>
          <w:rFonts w:hint="eastAsia"/>
          <w:sz w:val="28"/>
          <w:szCs w:val="28"/>
          <w:lang w:val="en-US"/>
        </w:rPr>
        <w:t>6）按照合同要求，合同执行完后保证所移交的设备完好，若设备损坏，按照市场价格扣除相关维修费用。</w:t>
      </w:r>
    </w:p>
    <w:p>
      <w:pPr>
        <w:rPr>
          <w:sz w:val="28"/>
          <w:szCs w:val="28"/>
        </w:rPr>
      </w:pPr>
      <w:r>
        <w:rPr>
          <w:rFonts w:hint="eastAsia"/>
          <w:sz w:val="28"/>
          <w:szCs w:val="28"/>
        </w:rPr>
        <w:t>5.3.人员要求</w:t>
      </w:r>
    </w:p>
    <w:p>
      <w:pPr>
        <w:rPr>
          <w:sz w:val="28"/>
          <w:szCs w:val="28"/>
        </w:rPr>
      </w:pPr>
      <w:r>
        <w:rPr>
          <w:rFonts w:hint="eastAsia"/>
          <w:sz w:val="28"/>
          <w:szCs w:val="28"/>
          <w:lang w:val="en-US"/>
        </w:rPr>
        <w:t>1）</w:t>
      </w:r>
      <w:r>
        <w:rPr>
          <w:rFonts w:hint="eastAsia"/>
          <w:sz w:val="28"/>
          <w:szCs w:val="28"/>
        </w:rPr>
        <w:t>中标人提供</w:t>
      </w:r>
      <w:r>
        <w:rPr>
          <w:rFonts w:hint="eastAsia"/>
          <w:sz w:val="28"/>
          <w:szCs w:val="28"/>
          <w:lang w:val="en-US"/>
        </w:rPr>
        <w:t>2</w:t>
      </w:r>
      <w:r>
        <w:rPr>
          <w:rFonts w:hint="eastAsia"/>
          <w:sz w:val="28"/>
          <w:szCs w:val="28"/>
        </w:rPr>
        <w:t>名持证技术操作工驻点服务，安排人员负责 24 小时现场职守巡查维护以及相关协调工作。人员固定，具有污水处理设施维保的经验操作人员，具备污废水处理工证书且为投标人正式员工（提供相关证书，同时提供</w:t>
      </w:r>
      <w:r>
        <w:rPr>
          <w:rFonts w:hint="eastAsia"/>
          <w:sz w:val="28"/>
          <w:szCs w:val="28"/>
          <w:lang w:val="en-US"/>
        </w:rPr>
        <w:t>操作人员</w:t>
      </w:r>
      <w:r>
        <w:rPr>
          <w:rFonts w:hint="eastAsia"/>
          <w:sz w:val="28"/>
          <w:szCs w:val="28"/>
        </w:rPr>
        <w:t>在投标人企业最近6个月社保证明材料），须熟练掌握设备的操作流程，严格按规范操作；设备维护人员需熟练掌握设备、设施的性能并能处理机器的故障，确保机器正常运转。</w:t>
      </w:r>
    </w:p>
    <w:p>
      <w:pPr>
        <w:rPr>
          <w:sz w:val="28"/>
          <w:szCs w:val="28"/>
        </w:rPr>
      </w:pPr>
      <w:r>
        <w:rPr>
          <w:rFonts w:hint="eastAsia"/>
          <w:sz w:val="28"/>
          <w:szCs w:val="28"/>
          <w:lang w:val="en-US"/>
        </w:rPr>
        <w:t>2）</w:t>
      </w:r>
      <w:r>
        <w:rPr>
          <w:rFonts w:hint="eastAsia"/>
          <w:sz w:val="28"/>
          <w:szCs w:val="28"/>
        </w:rPr>
        <w:t>运营管理及操作人员应经过系统的岗前培训，熟悉环保相关法律法规知识。对运营管理及操作人员建立定期考核和持续培训制度。</w:t>
      </w:r>
    </w:p>
    <w:p>
      <w:pPr>
        <w:rPr>
          <w:sz w:val="28"/>
          <w:szCs w:val="28"/>
        </w:rPr>
      </w:pPr>
      <w:r>
        <w:rPr>
          <w:rFonts w:hint="eastAsia"/>
          <w:sz w:val="28"/>
          <w:szCs w:val="28"/>
          <w:lang w:val="en-US"/>
        </w:rPr>
        <w:t>3）</w:t>
      </w:r>
      <w:r>
        <w:rPr>
          <w:rFonts w:hint="eastAsia"/>
          <w:sz w:val="28"/>
          <w:szCs w:val="28"/>
          <w:lang w:eastAsia="zh-CN"/>
        </w:rPr>
        <w:t>采购</w:t>
      </w:r>
      <w:r>
        <w:rPr>
          <w:rFonts w:hint="eastAsia"/>
          <w:sz w:val="28"/>
          <w:szCs w:val="28"/>
        </w:rPr>
        <w:t>人有权撤销中标人不合格的项目负责人及相关工作人员，中标人并须及时更换和补充服务人员；</w:t>
      </w:r>
    </w:p>
    <w:p>
      <w:pPr>
        <w:rPr>
          <w:sz w:val="28"/>
          <w:szCs w:val="28"/>
        </w:rPr>
      </w:pPr>
      <w:r>
        <w:rPr>
          <w:rFonts w:hint="eastAsia"/>
          <w:sz w:val="28"/>
          <w:szCs w:val="28"/>
          <w:lang w:val="en-US"/>
        </w:rPr>
        <w:t>4）</w:t>
      </w:r>
      <w:r>
        <w:rPr>
          <w:rFonts w:hint="eastAsia"/>
          <w:sz w:val="28"/>
          <w:szCs w:val="28"/>
        </w:rPr>
        <w:t>中标人负责派出工作人员的所有福利待遇、安全防护，工作期间造成的一切损伤由中标人负责。</w:t>
      </w:r>
    </w:p>
    <w:p>
      <w:pPr>
        <w:pStyle w:val="5"/>
        <w:rPr>
          <w:rFonts w:hint="eastAsia"/>
          <w:sz w:val="28"/>
          <w:szCs w:val="28"/>
          <w:lang w:val="en-US"/>
        </w:rPr>
      </w:pPr>
      <w:r>
        <w:rPr>
          <w:rFonts w:hint="eastAsia"/>
          <w:sz w:val="28"/>
          <w:szCs w:val="28"/>
          <w:lang w:val="en-US"/>
        </w:rPr>
        <w:t>5）项目</w:t>
      </w:r>
      <w:r>
        <w:rPr>
          <w:rFonts w:hint="eastAsia"/>
          <w:sz w:val="28"/>
          <w:szCs w:val="28"/>
          <w:lang w:val="en-US" w:eastAsia="zh-CN"/>
        </w:rPr>
        <w:t>工程技术人员资质</w:t>
      </w:r>
      <w:r>
        <w:rPr>
          <w:rFonts w:hint="eastAsia"/>
          <w:sz w:val="28"/>
          <w:szCs w:val="28"/>
          <w:lang w:val="en-US"/>
        </w:rPr>
        <w:t>要求：</w:t>
      </w:r>
    </w:p>
    <w:p>
      <w:pPr>
        <w:pStyle w:val="5"/>
        <w:rPr>
          <w:rFonts w:hint="eastAsia"/>
          <w:sz w:val="28"/>
          <w:szCs w:val="28"/>
          <w:lang w:val="en-US" w:eastAsia="zh-CN"/>
        </w:rPr>
      </w:pPr>
      <w:r>
        <w:rPr>
          <w:rFonts w:hint="eastAsia"/>
          <w:sz w:val="28"/>
          <w:szCs w:val="28"/>
          <w:lang w:val="en-US" w:eastAsia="zh-CN"/>
        </w:rPr>
        <w:t>（1）</w:t>
      </w:r>
      <w:r>
        <w:rPr>
          <w:rFonts w:hint="eastAsia"/>
          <w:sz w:val="28"/>
          <w:szCs w:val="28"/>
          <w:lang w:val="en-US"/>
        </w:rPr>
        <w:t>机电工程专业</w:t>
      </w:r>
      <w:r>
        <w:rPr>
          <w:rFonts w:hint="eastAsia"/>
          <w:sz w:val="28"/>
          <w:szCs w:val="28"/>
          <w:lang w:val="en-US" w:eastAsia="zh-CN"/>
        </w:rPr>
        <w:t>相关证书；</w:t>
      </w:r>
    </w:p>
    <w:p>
      <w:pPr>
        <w:pStyle w:val="5"/>
        <w:rPr>
          <w:rFonts w:hint="eastAsia"/>
          <w:sz w:val="28"/>
          <w:szCs w:val="28"/>
          <w:lang w:val="en-US" w:eastAsia="zh-CN"/>
        </w:rPr>
      </w:pPr>
      <w:r>
        <w:rPr>
          <w:rFonts w:hint="eastAsia"/>
          <w:sz w:val="28"/>
          <w:szCs w:val="28"/>
          <w:lang w:val="en-US" w:eastAsia="zh-CN"/>
        </w:rPr>
        <w:t>（2）</w:t>
      </w:r>
      <w:r>
        <w:rPr>
          <w:rFonts w:hint="eastAsia"/>
          <w:sz w:val="28"/>
          <w:szCs w:val="28"/>
          <w:lang w:val="en-US"/>
        </w:rPr>
        <w:t>具有有效的安全员B证</w:t>
      </w:r>
      <w:r>
        <w:rPr>
          <w:rFonts w:hint="eastAsia"/>
          <w:sz w:val="28"/>
          <w:szCs w:val="28"/>
          <w:lang w:val="en-US" w:eastAsia="zh-CN"/>
        </w:rPr>
        <w:t>；</w:t>
      </w:r>
    </w:p>
    <w:p>
      <w:pPr>
        <w:pStyle w:val="5"/>
        <w:rPr>
          <w:rFonts w:hint="eastAsia"/>
          <w:sz w:val="28"/>
          <w:szCs w:val="28"/>
          <w:lang w:val="en-US"/>
        </w:rPr>
      </w:pPr>
      <w:r>
        <w:rPr>
          <w:rFonts w:hint="eastAsia"/>
          <w:sz w:val="28"/>
          <w:szCs w:val="28"/>
          <w:lang w:val="en-US" w:eastAsia="zh-CN"/>
        </w:rPr>
        <w:t>（3）</w:t>
      </w:r>
      <w:r>
        <w:rPr>
          <w:rFonts w:hint="eastAsia"/>
          <w:sz w:val="28"/>
          <w:szCs w:val="28"/>
          <w:lang w:val="en-US"/>
        </w:rPr>
        <w:t>环保相关专业工程师证书。</w:t>
      </w:r>
    </w:p>
    <w:p>
      <w:pPr>
        <w:pStyle w:val="5"/>
        <w:rPr>
          <w:rFonts w:hint="default" w:eastAsia="宋体"/>
          <w:color w:val="auto"/>
          <w:sz w:val="28"/>
          <w:szCs w:val="28"/>
          <w:highlight w:val="yellow"/>
          <w:lang w:val="en-US" w:eastAsia="zh-CN"/>
        </w:rPr>
      </w:pPr>
      <w:r>
        <w:rPr>
          <w:rFonts w:hint="eastAsia"/>
          <w:color w:val="auto"/>
          <w:sz w:val="28"/>
          <w:szCs w:val="28"/>
          <w:highlight w:val="yellow"/>
          <w:lang w:val="en-US" w:eastAsia="zh-CN"/>
        </w:rPr>
        <w:t>*</w:t>
      </w:r>
      <w:r>
        <w:rPr>
          <w:rFonts w:hint="eastAsia"/>
          <w:color w:val="auto"/>
          <w:sz w:val="28"/>
          <w:szCs w:val="28"/>
          <w:highlight w:val="yellow"/>
          <w:lang w:val="en-US"/>
        </w:rPr>
        <w:t>提供相关证书</w:t>
      </w:r>
      <w:r>
        <w:rPr>
          <w:rFonts w:hint="eastAsia"/>
          <w:color w:val="auto"/>
          <w:sz w:val="28"/>
          <w:szCs w:val="28"/>
          <w:highlight w:val="yellow"/>
          <w:lang w:val="en-US" w:eastAsia="zh-CN"/>
        </w:rPr>
        <w:t>的人员名单</w:t>
      </w:r>
      <w:r>
        <w:rPr>
          <w:rFonts w:hint="eastAsia"/>
          <w:color w:val="auto"/>
          <w:sz w:val="28"/>
          <w:szCs w:val="28"/>
          <w:highlight w:val="yellow"/>
          <w:lang w:val="en-US"/>
        </w:rPr>
        <w:t>，</w:t>
      </w:r>
      <w:r>
        <w:rPr>
          <w:rFonts w:hint="eastAsia"/>
          <w:color w:val="auto"/>
          <w:sz w:val="28"/>
          <w:szCs w:val="28"/>
          <w:highlight w:val="yellow"/>
          <w:lang w:val="en-US" w:eastAsia="zh-CN"/>
        </w:rPr>
        <w:t>必须在</w:t>
      </w:r>
      <w:r>
        <w:rPr>
          <w:rFonts w:hint="eastAsia"/>
          <w:color w:val="auto"/>
          <w:sz w:val="28"/>
          <w:szCs w:val="28"/>
          <w:highlight w:val="yellow"/>
          <w:lang w:val="en-US"/>
        </w:rPr>
        <w:t>投标人企业最近</w:t>
      </w:r>
      <w:r>
        <w:rPr>
          <w:rFonts w:hint="eastAsia"/>
          <w:color w:val="auto"/>
          <w:sz w:val="28"/>
          <w:szCs w:val="28"/>
          <w:highlight w:val="yellow"/>
          <w:lang w:val="en-US" w:eastAsia="zh-CN"/>
        </w:rPr>
        <w:t>3</w:t>
      </w:r>
      <w:bookmarkStart w:id="1" w:name="_GoBack"/>
      <w:bookmarkEnd w:id="1"/>
      <w:r>
        <w:rPr>
          <w:rFonts w:hint="eastAsia"/>
          <w:color w:val="auto"/>
          <w:sz w:val="28"/>
          <w:szCs w:val="28"/>
          <w:highlight w:val="yellow"/>
          <w:lang w:val="en-US"/>
        </w:rPr>
        <w:t>个月社保证明材料</w:t>
      </w:r>
      <w:r>
        <w:rPr>
          <w:rFonts w:hint="eastAsia"/>
          <w:color w:val="auto"/>
          <w:sz w:val="28"/>
          <w:szCs w:val="28"/>
          <w:highlight w:val="yellow"/>
          <w:lang w:val="en-US" w:eastAsia="zh-CN"/>
        </w:rPr>
        <w:t>目录内。</w:t>
      </w:r>
    </w:p>
    <w:p>
      <w:pPr>
        <w:rPr>
          <w:b/>
          <w:bCs/>
          <w:sz w:val="28"/>
          <w:szCs w:val="28"/>
        </w:rPr>
      </w:pPr>
      <w:r>
        <w:rPr>
          <w:rFonts w:hint="eastAsia"/>
          <w:b/>
          <w:bCs/>
          <w:sz w:val="28"/>
          <w:szCs w:val="28"/>
          <w:lang w:val="en-US"/>
        </w:rPr>
        <w:t>6</w:t>
      </w:r>
      <w:r>
        <w:rPr>
          <w:rFonts w:hint="eastAsia"/>
          <w:b/>
          <w:bCs/>
          <w:sz w:val="28"/>
          <w:szCs w:val="28"/>
        </w:rPr>
        <w:t>.其他要求与约定</w:t>
      </w:r>
    </w:p>
    <w:p>
      <w:pPr>
        <w:rPr>
          <w:sz w:val="28"/>
          <w:szCs w:val="28"/>
        </w:rPr>
      </w:pPr>
      <w:r>
        <w:rPr>
          <w:rFonts w:hint="eastAsia"/>
          <w:sz w:val="28"/>
          <w:szCs w:val="28"/>
          <w:lang w:val="en-US"/>
        </w:rPr>
        <w:t>1）</w:t>
      </w:r>
      <w:r>
        <w:rPr>
          <w:rFonts w:hint="eastAsia"/>
          <w:sz w:val="28"/>
          <w:szCs w:val="28"/>
        </w:rPr>
        <w:t>在日常运营活动中，应充分考虑环境影响，保持地面和设备表面清洁，维护良好周边的环境。</w:t>
      </w:r>
    </w:p>
    <w:p>
      <w:pPr>
        <w:rPr>
          <w:sz w:val="28"/>
          <w:szCs w:val="28"/>
        </w:rPr>
      </w:pPr>
      <w:r>
        <w:rPr>
          <w:rFonts w:hint="eastAsia"/>
          <w:sz w:val="28"/>
          <w:szCs w:val="28"/>
          <w:lang w:val="en-US"/>
        </w:rPr>
        <w:t>2）</w:t>
      </w:r>
      <w:r>
        <w:rPr>
          <w:rFonts w:hint="eastAsia"/>
          <w:sz w:val="28"/>
          <w:szCs w:val="28"/>
        </w:rPr>
        <w:t>应建立运行管理制度、设备操作规范及危险品管理等相关制度并统一定制上墙。</w:t>
      </w:r>
    </w:p>
    <w:p>
      <w:pPr>
        <w:rPr>
          <w:sz w:val="28"/>
          <w:szCs w:val="28"/>
        </w:rPr>
      </w:pPr>
      <w:r>
        <w:rPr>
          <w:rFonts w:hint="eastAsia"/>
          <w:sz w:val="28"/>
          <w:szCs w:val="28"/>
          <w:lang w:val="en-US"/>
        </w:rPr>
        <w:t>3）</w:t>
      </w:r>
      <w:r>
        <w:rPr>
          <w:rFonts w:hint="eastAsia"/>
          <w:sz w:val="28"/>
          <w:szCs w:val="28"/>
        </w:rPr>
        <w:t>为保证保持污水处理设备、设施 24 小时正常运转，污水处理系统运行期间要督促操作人员认真巡回检查，负责设备、设施的日常维护、保养和检修工作，并做记录，形成设备巡检以及维护记录台账档案，发现异常情况及时妥善处理汇报。</w:t>
      </w:r>
    </w:p>
    <w:p>
      <w:pPr>
        <w:rPr>
          <w:sz w:val="28"/>
          <w:szCs w:val="28"/>
        </w:rPr>
      </w:pPr>
      <w:r>
        <w:rPr>
          <w:rFonts w:hint="eastAsia"/>
          <w:sz w:val="28"/>
          <w:szCs w:val="28"/>
          <w:lang w:val="en-US"/>
        </w:rPr>
        <w:t>4）</w:t>
      </w:r>
      <w:r>
        <w:rPr>
          <w:rFonts w:hint="eastAsia"/>
          <w:sz w:val="28"/>
          <w:szCs w:val="28"/>
        </w:rPr>
        <w:t>对污水处理站运行产生的污泥定期压滤并打包按环保规范要求处置。</w:t>
      </w:r>
    </w:p>
    <w:p>
      <w:pPr>
        <w:rPr>
          <w:sz w:val="28"/>
          <w:szCs w:val="28"/>
        </w:rPr>
      </w:pPr>
      <w:r>
        <w:rPr>
          <w:rFonts w:hint="eastAsia"/>
          <w:sz w:val="28"/>
          <w:szCs w:val="28"/>
          <w:lang w:val="en-US"/>
        </w:rPr>
        <w:t>5）</w:t>
      </w:r>
      <w:r>
        <w:rPr>
          <w:rFonts w:hint="eastAsia"/>
          <w:sz w:val="28"/>
          <w:szCs w:val="28"/>
        </w:rPr>
        <w:t>负责与市环保部门的业务联系，做好环保部门检查时的接待工作， 并安排专人参加环保部门年度培训，取得当地环保部门认可的培训结业证书等有效证件。</w:t>
      </w:r>
    </w:p>
    <w:p>
      <w:pPr>
        <w:rPr>
          <w:sz w:val="28"/>
          <w:szCs w:val="28"/>
        </w:rPr>
      </w:pPr>
      <w:r>
        <w:rPr>
          <w:rFonts w:hint="eastAsia"/>
          <w:sz w:val="28"/>
          <w:szCs w:val="28"/>
          <w:lang w:val="en-US"/>
        </w:rPr>
        <w:t>6）</w:t>
      </w:r>
      <w:r>
        <w:rPr>
          <w:rFonts w:hint="eastAsia"/>
          <w:sz w:val="28"/>
          <w:szCs w:val="28"/>
        </w:rPr>
        <w:t>制定完善的应急预案，按照院部要求组织应急预案演练，每年不少于一次，如若污水站出现停电，停机维护，出水异常等情况，应立即采取应急处理措施，保证正常排放，并及时向</w:t>
      </w:r>
      <w:r>
        <w:rPr>
          <w:rFonts w:hint="eastAsia"/>
          <w:sz w:val="28"/>
          <w:szCs w:val="28"/>
          <w:lang w:eastAsia="zh-CN"/>
        </w:rPr>
        <w:t>采购</w:t>
      </w:r>
      <w:r>
        <w:rPr>
          <w:rFonts w:hint="eastAsia"/>
          <w:sz w:val="28"/>
          <w:szCs w:val="28"/>
        </w:rPr>
        <w:t>人相关部门汇报。</w:t>
      </w:r>
    </w:p>
    <w:p>
      <w:pPr>
        <w:rPr>
          <w:sz w:val="28"/>
          <w:szCs w:val="28"/>
        </w:rPr>
      </w:pPr>
      <w:r>
        <w:rPr>
          <w:rFonts w:hint="eastAsia"/>
          <w:sz w:val="28"/>
          <w:szCs w:val="28"/>
          <w:lang w:val="en-US"/>
        </w:rPr>
        <w:t>7）</w:t>
      </w:r>
      <w:r>
        <w:rPr>
          <w:rFonts w:hint="eastAsia"/>
          <w:sz w:val="28"/>
          <w:szCs w:val="28"/>
        </w:rPr>
        <w:t>中标人需在</w:t>
      </w:r>
      <w:r>
        <w:rPr>
          <w:rFonts w:hint="eastAsia"/>
          <w:sz w:val="28"/>
          <w:szCs w:val="28"/>
          <w:lang w:eastAsia="zh-CN"/>
        </w:rPr>
        <w:t>采购</w:t>
      </w:r>
      <w:r>
        <w:rPr>
          <w:rFonts w:hint="eastAsia"/>
          <w:sz w:val="28"/>
          <w:szCs w:val="28"/>
        </w:rPr>
        <w:t>人管理及要求下规范完成托管服务，在托管期间确保污水达标排放，中标人应承担因运营过失而造成的一切后果（含因环保监测不合格的罚款）以及任何处罚或整改，</w:t>
      </w:r>
      <w:r>
        <w:rPr>
          <w:rFonts w:hint="eastAsia"/>
          <w:sz w:val="28"/>
          <w:szCs w:val="28"/>
          <w:lang w:eastAsia="zh-CN"/>
        </w:rPr>
        <w:t>采购</w:t>
      </w:r>
      <w:r>
        <w:rPr>
          <w:rFonts w:hint="eastAsia"/>
          <w:sz w:val="28"/>
          <w:szCs w:val="28"/>
        </w:rPr>
        <w:t>人先行承担后有权向中标人追偿，并有权单方面终止运营管理服务合同。</w:t>
      </w:r>
    </w:p>
    <w:p>
      <w:pPr>
        <w:rPr>
          <w:sz w:val="28"/>
          <w:szCs w:val="28"/>
        </w:rPr>
      </w:pPr>
      <w:r>
        <w:rPr>
          <w:rFonts w:hint="eastAsia"/>
          <w:sz w:val="28"/>
          <w:szCs w:val="28"/>
          <w:lang w:val="en-US"/>
        </w:rPr>
        <w:t>8）</w:t>
      </w:r>
      <w:r>
        <w:rPr>
          <w:rFonts w:hint="eastAsia"/>
          <w:sz w:val="28"/>
          <w:szCs w:val="28"/>
        </w:rPr>
        <w:t>中标人负责运营期间人、材、物的安全防范和意外情况的应急处理， 承担一切安全责任。</w:t>
      </w:r>
    </w:p>
    <w:p>
      <w:pPr>
        <w:rPr>
          <w:sz w:val="28"/>
          <w:szCs w:val="28"/>
        </w:rPr>
      </w:pPr>
      <w:r>
        <w:rPr>
          <w:rFonts w:hint="eastAsia"/>
          <w:sz w:val="28"/>
          <w:szCs w:val="28"/>
          <w:lang w:val="en-US"/>
        </w:rPr>
        <w:t>9）</w:t>
      </w:r>
      <w:r>
        <w:rPr>
          <w:rFonts w:hint="eastAsia"/>
          <w:sz w:val="28"/>
          <w:szCs w:val="28"/>
        </w:rPr>
        <w:t>发生纠纷，应友好协商，协商不成，约定由</w:t>
      </w:r>
      <w:r>
        <w:rPr>
          <w:rFonts w:hint="eastAsia"/>
          <w:sz w:val="28"/>
          <w:szCs w:val="28"/>
          <w:lang w:eastAsia="zh-CN"/>
        </w:rPr>
        <w:t>采购</w:t>
      </w:r>
      <w:r>
        <w:rPr>
          <w:rFonts w:hint="eastAsia"/>
          <w:sz w:val="28"/>
          <w:szCs w:val="28"/>
        </w:rPr>
        <w:t>人所在地法院管</w:t>
      </w:r>
    </w:p>
    <w:p>
      <w:pPr>
        <w:rPr>
          <w:sz w:val="28"/>
          <w:szCs w:val="28"/>
        </w:rPr>
      </w:pPr>
      <w:r>
        <w:rPr>
          <w:rFonts w:hint="eastAsia"/>
          <w:sz w:val="28"/>
          <w:szCs w:val="28"/>
        </w:rPr>
        <w:t>辖。</w:t>
      </w:r>
    </w:p>
    <w:p>
      <w:pPr>
        <w:rPr>
          <w:sz w:val="28"/>
          <w:szCs w:val="28"/>
        </w:rPr>
      </w:pPr>
      <w:r>
        <w:rPr>
          <w:rFonts w:hint="eastAsia"/>
          <w:b/>
          <w:bCs/>
          <w:sz w:val="28"/>
          <w:szCs w:val="28"/>
          <w:lang w:val="en-US"/>
        </w:rPr>
        <w:t>7</w:t>
      </w:r>
      <w:r>
        <w:rPr>
          <w:rFonts w:hint="eastAsia"/>
          <w:b/>
          <w:bCs/>
          <w:sz w:val="28"/>
          <w:szCs w:val="28"/>
        </w:rPr>
        <w:t>.对运营服务的监督与整改</w:t>
      </w:r>
    </w:p>
    <w:p>
      <w:pPr>
        <w:rPr>
          <w:sz w:val="28"/>
          <w:szCs w:val="28"/>
        </w:rPr>
      </w:pPr>
      <w:r>
        <w:rPr>
          <w:rFonts w:hint="eastAsia"/>
          <w:sz w:val="28"/>
          <w:szCs w:val="28"/>
          <w:lang w:val="en-US"/>
        </w:rPr>
        <w:t>1）</w:t>
      </w:r>
      <w:r>
        <w:rPr>
          <w:rFonts w:hint="eastAsia"/>
          <w:sz w:val="28"/>
          <w:szCs w:val="28"/>
        </w:rPr>
        <w:t>合同期内中标单位必须依据</w:t>
      </w:r>
      <w:r>
        <w:rPr>
          <w:rFonts w:hint="eastAsia"/>
          <w:sz w:val="28"/>
          <w:szCs w:val="28"/>
          <w:lang w:eastAsia="zh-CN"/>
        </w:rPr>
        <w:t>采购</w:t>
      </w:r>
      <w:r>
        <w:rPr>
          <w:rFonts w:hint="eastAsia"/>
          <w:sz w:val="28"/>
          <w:szCs w:val="28"/>
        </w:rPr>
        <w:t>方及相关部门政策、规范、文件要求进行运营管理服务，并无条件接受</w:t>
      </w:r>
      <w:r>
        <w:rPr>
          <w:rFonts w:hint="eastAsia"/>
          <w:sz w:val="28"/>
          <w:szCs w:val="28"/>
          <w:lang w:eastAsia="zh-CN"/>
        </w:rPr>
        <w:t>采购</w:t>
      </w:r>
      <w:r>
        <w:rPr>
          <w:rFonts w:hint="eastAsia"/>
          <w:sz w:val="28"/>
          <w:szCs w:val="28"/>
        </w:rPr>
        <w:t>方以及相关主管部门的随时抽查及监管，提供所需的一切技术及运行资料。</w:t>
      </w:r>
    </w:p>
    <w:p>
      <w:pPr>
        <w:rPr>
          <w:rFonts w:hint="eastAsia"/>
          <w:sz w:val="28"/>
          <w:szCs w:val="28"/>
        </w:rPr>
      </w:pPr>
      <w:r>
        <w:rPr>
          <w:rFonts w:hint="eastAsia"/>
          <w:sz w:val="28"/>
          <w:szCs w:val="28"/>
          <w:lang w:val="en-US"/>
        </w:rPr>
        <w:t>2）</w:t>
      </w:r>
      <w:r>
        <w:rPr>
          <w:rFonts w:hint="eastAsia"/>
          <w:sz w:val="28"/>
          <w:szCs w:val="28"/>
        </w:rPr>
        <w:t>现场督查过程中发现任何问题</w:t>
      </w:r>
      <w:r>
        <w:rPr>
          <w:rFonts w:hint="eastAsia"/>
          <w:sz w:val="28"/>
          <w:szCs w:val="28"/>
          <w:lang w:eastAsia="zh-CN"/>
        </w:rPr>
        <w:t>采购</w:t>
      </w:r>
      <w:r>
        <w:rPr>
          <w:rFonts w:hint="eastAsia"/>
          <w:sz w:val="28"/>
          <w:szCs w:val="28"/>
        </w:rPr>
        <w:t>方有权在包括但不限于本</w:t>
      </w:r>
      <w:r>
        <w:rPr>
          <w:rFonts w:hint="eastAsia"/>
          <w:sz w:val="28"/>
          <w:szCs w:val="28"/>
          <w:lang w:eastAsia="zh-CN"/>
        </w:rPr>
        <w:t>采购</w:t>
      </w:r>
      <w:r>
        <w:rPr>
          <w:rFonts w:hint="eastAsia"/>
          <w:sz w:val="28"/>
          <w:szCs w:val="28"/>
        </w:rPr>
        <w:t>文件中规定的相关情况或服务缺陷予以监管扣款，视情况每次予以 200 元及以上罚款。 在自检、抽检或行业主管部门检查过程中，出现一次出水水质不达标或造成其他污染的，</w:t>
      </w:r>
      <w:r>
        <w:rPr>
          <w:rFonts w:hint="eastAsia"/>
          <w:sz w:val="28"/>
          <w:szCs w:val="28"/>
          <w:lang w:eastAsia="zh-CN"/>
        </w:rPr>
        <w:t>采购</w:t>
      </w:r>
      <w:r>
        <w:rPr>
          <w:rFonts w:hint="eastAsia"/>
          <w:sz w:val="28"/>
          <w:szCs w:val="28"/>
        </w:rPr>
        <w:t>方有权扣除 1%及以上的年度服务费用， 并视情节轻重追究相关责任。任一年度出现三次以上的，</w:t>
      </w:r>
      <w:r>
        <w:rPr>
          <w:rFonts w:hint="eastAsia"/>
          <w:sz w:val="28"/>
          <w:szCs w:val="28"/>
          <w:lang w:eastAsia="zh-CN"/>
        </w:rPr>
        <w:t>采购</w:t>
      </w:r>
      <w:r>
        <w:rPr>
          <w:rFonts w:hint="eastAsia"/>
          <w:sz w:val="28"/>
          <w:szCs w:val="28"/>
        </w:rPr>
        <w:t>方有权按上述内容扣除相关服务费用后，与中标方解除合同。因出水水质不达标导致或造成其他污染而导致</w:t>
      </w:r>
      <w:r>
        <w:rPr>
          <w:rFonts w:hint="eastAsia"/>
          <w:sz w:val="28"/>
          <w:szCs w:val="28"/>
          <w:lang w:eastAsia="zh-CN"/>
        </w:rPr>
        <w:t>采购</w:t>
      </w:r>
      <w:r>
        <w:rPr>
          <w:rFonts w:hint="eastAsia"/>
          <w:sz w:val="28"/>
          <w:szCs w:val="28"/>
        </w:rPr>
        <w:t>方被行业主管部门通报或处罚的或出现其他影响恶劣情形的，</w:t>
      </w:r>
      <w:r>
        <w:rPr>
          <w:rFonts w:hint="eastAsia"/>
          <w:sz w:val="28"/>
          <w:szCs w:val="28"/>
          <w:lang w:eastAsia="zh-CN"/>
        </w:rPr>
        <w:t>采购</w:t>
      </w:r>
      <w:r>
        <w:rPr>
          <w:rFonts w:hint="eastAsia"/>
          <w:sz w:val="28"/>
          <w:szCs w:val="28"/>
        </w:rPr>
        <w:t>方有权在追究中标方责任后与中标方解除合同。</w:t>
      </w:r>
    </w:p>
    <w:p>
      <w:pPr>
        <w:rPr>
          <w:rFonts w:hint="eastAsia"/>
          <w:sz w:val="28"/>
          <w:szCs w:val="28"/>
        </w:rPr>
      </w:pPr>
      <w:r>
        <w:rPr>
          <w:rFonts w:hint="eastAsia"/>
          <w:b/>
          <w:bCs/>
          <w:sz w:val="28"/>
          <w:szCs w:val="28"/>
          <w:lang w:val="en-US"/>
        </w:rPr>
        <w:t>8</w:t>
      </w:r>
      <w:r>
        <w:rPr>
          <w:rFonts w:hint="eastAsia"/>
          <w:b/>
          <w:bCs/>
          <w:sz w:val="28"/>
          <w:szCs w:val="28"/>
        </w:rPr>
        <w:t>.日常工作安排内容：</w:t>
      </w:r>
    </w:p>
    <w:p>
      <w:pPr>
        <w:rPr>
          <w:rFonts w:hint="eastAsia"/>
          <w:sz w:val="28"/>
          <w:szCs w:val="28"/>
        </w:rPr>
      </w:pPr>
      <w:r>
        <w:rPr>
          <w:rFonts w:hint="eastAsia"/>
          <w:sz w:val="28"/>
          <w:szCs w:val="28"/>
        </w:rPr>
        <w:t>1、每日完成的工作内容</w:t>
      </w:r>
    </w:p>
    <w:p>
      <w:pPr>
        <w:rPr>
          <w:rFonts w:hint="eastAsia"/>
          <w:sz w:val="28"/>
          <w:szCs w:val="28"/>
        </w:rPr>
      </w:pPr>
      <w:r>
        <w:rPr>
          <w:rFonts w:hint="eastAsia"/>
          <w:sz w:val="28"/>
          <w:szCs w:val="28"/>
        </w:rPr>
        <w:t>1)填写交接班记录，查看了解上一班次运营记录、交接班留言及有无异常情况记录。</w:t>
      </w:r>
    </w:p>
    <w:p>
      <w:pPr>
        <w:rPr>
          <w:rFonts w:hint="eastAsia"/>
          <w:sz w:val="28"/>
          <w:szCs w:val="28"/>
        </w:rPr>
      </w:pPr>
      <w:r>
        <w:rPr>
          <w:rFonts w:hint="eastAsia"/>
          <w:sz w:val="28"/>
          <w:szCs w:val="28"/>
        </w:rPr>
        <w:t>2）早班完成污水站现场卫生的打扫，包括值班室、加药间、一体化设备外立面、污水站公共区域</w:t>
      </w:r>
      <w:r>
        <w:rPr>
          <w:sz w:val="28"/>
          <w:szCs w:val="28"/>
        </w:rPr>
        <w:t>等，保持污水站干净整洁。</w:t>
      </w:r>
    </w:p>
    <w:p>
      <w:pPr>
        <w:rPr>
          <w:rFonts w:hint="eastAsia"/>
          <w:sz w:val="28"/>
          <w:szCs w:val="28"/>
        </w:rPr>
      </w:pPr>
      <w:r>
        <w:rPr>
          <w:rFonts w:hint="eastAsia"/>
          <w:sz w:val="28"/>
          <w:szCs w:val="28"/>
        </w:rPr>
        <w:t>3）早班完成设备运行状态的巡检工作，确保全部设备处于正常工作状态，如有异常及时上报项目主管工程师。</w:t>
      </w:r>
    </w:p>
    <w:p>
      <w:pPr>
        <w:pStyle w:val="10"/>
        <w:ind w:left="0" w:leftChars="0" w:firstLine="0" w:firstLineChars="0"/>
        <w:rPr>
          <w:rFonts w:hint="eastAsia" w:eastAsia="宋体"/>
          <w:sz w:val="28"/>
          <w:szCs w:val="28"/>
        </w:rPr>
      </w:pPr>
      <w:r>
        <w:rPr>
          <w:rFonts w:hint="eastAsia"/>
          <w:sz w:val="28"/>
          <w:szCs w:val="28"/>
        </w:rPr>
        <w:t>4</w:t>
      </w:r>
      <w:r>
        <w:rPr>
          <w:rFonts w:hint="eastAsia" w:eastAsia="宋体"/>
          <w:sz w:val="28"/>
          <w:szCs w:val="28"/>
        </w:rPr>
        <w:t>）每1h巡查一次污水站各工艺段、各开启设备、各池体运行情况并做运营记录，巡查全部工艺段、全部开启设备、各池体运行是否正常，如有异常及时判断处置，无法及时处置的问题上报项目主管工程师。</w:t>
      </w:r>
    </w:p>
    <w:p>
      <w:pPr>
        <w:pStyle w:val="10"/>
        <w:ind w:left="0" w:leftChars="0" w:firstLine="0" w:firstLineChars="0"/>
        <w:rPr>
          <w:rFonts w:hint="eastAsia" w:eastAsia="宋体"/>
          <w:sz w:val="28"/>
          <w:szCs w:val="28"/>
        </w:rPr>
      </w:pPr>
      <w:r>
        <w:rPr>
          <w:rFonts w:hint="eastAsia" w:eastAsia="宋体"/>
          <w:sz w:val="28"/>
          <w:szCs w:val="28"/>
        </w:rPr>
        <w:t>5）早班完成消毒药剂的药剂添加和配置，确保消毒药剂按标准要求配置和投加。</w:t>
      </w:r>
    </w:p>
    <w:p>
      <w:pPr>
        <w:pStyle w:val="10"/>
        <w:ind w:left="0" w:leftChars="0" w:firstLine="0" w:firstLineChars="0"/>
        <w:rPr>
          <w:rFonts w:hint="eastAsia" w:eastAsia="宋体"/>
          <w:sz w:val="28"/>
          <w:szCs w:val="28"/>
        </w:rPr>
      </w:pPr>
      <w:r>
        <w:rPr>
          <w:rFonts w:hint="eastAsia" w:eastAsia="宋体"/>
          <w:sz w:val="28"/>
          <w:szCs w:val="28"/>
        </w:rPr>
        <w:t>6）根据调节池内水位实时观察和调整提升泵，控制进水流量。</w:t>
      </w:r>
    </w:p>
    <w:p>
      <w:pPr>
        <w:pStyle w:val="10"/>
        <w:ind w:left="0" w:leftChars="0" w:firstLine="0" w:firstLineChars="0"/>
        <w:rPr>
          <w:rFonts w:hint="eastAsia" w:eastAsia="宋体"/>
          <w:sz w:val="28"/>
          <w:szCs w:val="28"/>
        </w:rPr>
      </w:pPr>
      <w:r>
        <w:rPr>
          <w:rFonts w:hint="eastAsia" w:eastAsia="宋体"/>
          <w:sz w:val="28"/>
          <w:szCs w:val="28"/>
        </w:rPr>
        <w:t>7）观察个工艺段水质变化，如出现水质异常波动，如泡沫增多、透明度降低、水体颜色发暗、浑浊度明显增加等异常情况及时上报项目主管工程师。</w:t>
      </w:r>
    </w:p>
    <w:p>
      <w:pPr>
        <w:pStyle w:val="10"/>
        <w:ind w:left="0" w:leftChars="0" w:firstLine="0" w:firstLineChars="0"/>
        <w:rPr>
          <w:rFonts w:hint="eastAsia" w:eastAsia="宋体"/>
          <w:sz w:val="28"/>
          <w:szCs w:val="28"/>
        </w:rPr>
      </w:pPr>
      <w:r>
        <w:rPr>
          <w:rFonts w:hint="eastAsia" w:eastAsia="宋体"/>
          <w:sz w:val="28"/>
          <w:szCs w:val="28"/>
        </w:rPr>
        <w:t>8）每</w:t>
      </w:r>
      <w:r>
        <w:rPr>
          <w:rFonts w:hint="eastAsia" w:eastAsia="宋体"/>
          <w:sz w:val="28"/>
          <w:szCs w:val="28"/>
          <w:lang w:val="en-US" w:eastAsia="zh-CN"/>
        </w:rPr>
        <w:t>日</w:t>
      </w:r>
      <w:r>
        <w:rPr>
          <w:rFonts w:hint="eastAsia" w:eastAsia="宋体"/>
          <w:sz w:val="28"/>
          <w:szCs w:val="28"/>
        </w:rPr>
        <w:t>不少于3次测定消毒池出水余氯数值，及时调整消毒药剂投加量，以确保消毒池出水余氯在合理区间，确保消毒稳定达标排放。</w:t>
      </w:r>
    </w:p>
    <w:p>
      <w:pPr>
        <w:pStyle w:val="10"/>
        <w:ind w:left="0" w:leftChars="0" w:firstLine="0" w:firstLineChars="0"/>
        <w:rPr>
          <w:rFonts w:hint="eastAsia" w:eastAsia="宋体"/>
          <w:sz w:val="28"/>
          <w:szCs w:val="28"/>
        </w:rPr>
      </w:pPr>
      <w:r>
        <w:rPr>
          <w:rFonts w:hint="eastAsia" w:eastAsia="宋体"/>
          <w:sz w:val="28"/>
          <w:szCs w:val="28"/>
        </w:rPr>
        <w:t>9）清理格栅渠附着杂物，对格栅渣完成打包暂存；打扫标准化排口卫生，刷洗巴士计量槽，保持干净整洁。</w:t>
      </w:r>
    </w:p>
    <w:p>
      <w:pPr>
        <w:pStyle w:val="10"/>
        <w:ind w:left="0" w:leftChars="0" w:firstLine="0" w:firstLineChars="0"/>
        <w:rPr>
          <w:rFonts w:hint="eastAsia" w:eastAsia="宋体"/>
          <w:sz w:val="28"/>
          <w:szCs w:val="28"/>
        </w:rPr>
      </w:pPr>
      <w:r>
        <w:rPr>
          <w:rFonts w:hint="eastAsia" w:eastAsia="宋体"/>
          <w:sz w:val="28"/>
          <w:szCs w:val="28"/>
        </w:rPr>
        <w:t>10）对来访人员进行登记和接待，如主管部门检查指导、上级领导检查指导、公司安排的巡检和维修保养等，拒绝无关人员进去污水站操作区域。</w:t>
      </w:r>
    </w:p>
    <w:p>
      <w:pPr>
        <w:pStyle w:val="10"/>
        <w:ind w:left="0" w:leftChars="0" w:firstLine="0" w:firstLineChars="0"/>
        <w:rPr>
          <w:rFonts w:hint="eastAsia" w:eastAsia="宋体"/>
          <w:sz w:val="28"/>
          <w:szCs w:val="28"/>
        </w:rPr>
      </w:pPr>
      <w:r>
        <w:rPr>
          <w:rFonts w:hint="eastAsia" w:eastAsia="宋体"/>
          <w:sz w:val="28"/>
          <w:szCs w:val="28"/>
        </w:rPr>
        <w:t>2、每周完成的工作内容</w:t>
      </w:r>
    </w:p>
    <w:p>
      <w:pPr>
        <w:pStyle w:val="10"/>
        <w:ind w:left="0" w:leftChars="0" w:firstLine="0" w:firstLineChars="0"/>
        <w:rPr>
          <w:rFonts w:hint="eastAsia" w:eastAsia="宋体"/>
          <w:sz w:val="28"/>
          <w:szCs w:val="28"/>
        </w:rPr>
      </w:pPr>
      <w:r>
        <w:rPr>
          <w:rFonts w:hint="eastAsia" w:eastAsia="宋体"/>
          <w:sz w:val="28"/>
          <w:szCs w:val="28"/>
        </w:rPr>
        <w:t>1）由项目主管工程师完成对污水站全部设备的巡检和保养，确保全部设备机油液位正常，无跑冒滴漏，无异常，设备均处于良好状态。</w:t>
      </w:r>
    </w:p>
    <w:p>
      <w:pPr>
        <w:pStyle w:val="10"/>
        <w:ind w:left="0" w:leftChars="0" w:firstLine="0" w:firstLineChars="0"/>
        <w:rPr>
          <w:rFonts w:hint="eastAsia" w:eastAsia="宋体"/>
          <w:sz w:val="28"/>
          <w:szCs w:val="28"/>
        </w:rPr>
      </w:pPr>
      <w:r>
        <w:rPr>
          <w:rFonts w:hint="eastAsia" w:eastAsia="宋体"/>
          <w:sz w:val="28"/>
          <w:szCs w:val="28"/>
        </w:rPr>
        <w:t>2）对一周内运营记录做检查和评估，了解掌握污水站运行状况，有问题及时指导和纠正。</w:t>
      </w:r>
    </w:p>
    <w:p>
      <w:pPr>
        <w:pStyle w:val="10"/>
        <w:ind w:left="0" w:leftChars="0" w:firstLine="0" w:firstLineChars="0"/>
        <w:rPr>
          <w:rFonts w:hint="eastAsia" w:eastAsia="宋体"/>
          <w:sz w:val="28"/>
          <w:szCs w:val="28"/>
        </w:rPr>
      </w:pPr>
      <w:r>
        <w:rPr>
          <w:rFonts w:hint="eastAsia" w:eastAsia="宋体"/>
          <w:sz w:val="28"/>
          <w:szCs w:val="28"/>
        </w:rPr>
        <w:t>3）取进出水水质，交实验室做化验分析，了解和掌握污水站进出水水质指标，确保正常稳定达标。</w:t>
      </w:r>
    </w:p>
    <w:p>
      <w:pPr>
        <w:pStyle w:val="10"/>
        <w:ind w:left="0" w:leftChars="0" w:firstLine="0" w:firstLineChars="0"/>
        <w:rPr>
          <w:rFonts w:hint="eastAsia" w:eastAsia="宋体"/>
          <w:sz w:val="28"/>
          <w:szCs w:val="28"/>
        </w:rPr>
      </w:pPr>
      <w:r>
        <w:rPr>
          <w:rFonts w:hint="eastAsia" w:eastAsia="宋体"/>
          <w:sz w:val="28"/>
          <w:szCs w:val="28"/>
        </w:rPr>
        <w:t>4）由项目主管工程师完成对污水站各工艺段运行的勘察和评估，确保工艺运行平稳，水质无明显波动。</w:t>
      </w:r>
    </w:p>
    <w:p>
      <w:pPr>
        <w:pStyle w:val="10"/>
        <w:ind w:left="0" w:leftChars="0" w:firstLine="0" w:firstLineChars="0"/>
        <w:rPr>
          <w:rFonts w:hint="eastAsia" w:eastAsia="宋体"/>
          <w:sz w:val="28"/>
          <w:szCs w:val="28"/>
        </w:rPr>
      </w:pPr>
      <w:r>
        <w:rPr>
          <w:rFonts w:hint="eastAsia" w:eastAsia="宋体"/>
          <w:sz w:val="28"/>
          <w:szCs w:val="28"/>
        </w:rPr>
        <w:t>5）检查现场卫生执行和落实情况，确保污水站区域卫生干净整洁；检查运营记录填写是否符合规范，检查值班人员在岗及工作纪律是否符合岗位职责规定。</w:t>
      </w:r>
    </w:p>
    <w:p>
      <w:pPr>
        <w:pStyle w:val="10"/>
        <w:ind w:left="0" w:leftChars="0" w:firstLine="0" w:firstLineChars="0"/>
        <w:rPr>
          <w:rFonts w:hint="eastAsia" w:eastAsia="宋体"/>
          <w:sz w:val="28"/>
          <w:szCs w:val="28"/>
        </w:rPr>
      </w:pPr>
      <w:r>
        <w:rPr>
          <w:rFonts w:hint="eastAsia" w:eastAsia="宋体"/>
          <w:sz w:val="28"/>
          <w:szCs w:val="28"/>
        </w:rPr>
        <w:t>3、每月完成工作内容</w:t>
      </w:r>
    </w:p>
    <w:p>
      <w:pPr>
        <w:pStyle w:val="5"/>
        <w:rPr>
          <w:rFonts w:hint="eastAsia"/>
          <w:sz w:val="28"/>
          <w:szCs w:val="28"/>
        </w:rPr>
      </w:pPr>
      <w:r>
        <w:rPr>
          <w:rFonts w:hint="eastAsia"/>
          <w:sz w:val="28"/>
          <w:szCs w:val="28"/>
        </w:rPr>
        <w:t>1）完成一次污水站操作工人的培训；完成一次污水站的安全培训、安全检查。</w:t>
      </w:r>
    </w:p>
    <w:p>
      <w:pPr>
        <w:pStyle w:val="5"/>
        <w:rPr>
          <w:sz w:val="28"/>
          <w:szCs w:val="28"/>
        </w:rPr>
      </w:pPr>
      <w:r>
        <w:rPr>
          <w:rFonts w:hint="eastAsia"/>
          <w:sz w:val="28"/>
          <w:szCs w:val="28"/>
        </w:rPr>
        <w:t>2）整理递交运维记录及技术资料等运行资料。</w:t>
      </w:r>
    </w:p>
    <w:p>
      <w:pPr>
        <w:pStyle w:val="5"/>
        <w:rPr>
          <w:rFonts w:hint="eastAsia"/>
          <w:sz w:val="28"/>
          <w:szCs w:val="28"/>
        </w:rPr>
      </w:pPr>
    </w:p>
    <w:p>
      <w:pPr>
        <w:pStyle w:val="18"/>
        <w:numPr>
          <w:ilvl w:val="0"/>
          <w:numId w:val="1"/>
        </w:numPr>
        <w:ind w:firstLineChars="0"/>
        <w:rPr>
          <w:rFonts w:hint="eastAsia"/>
          <w:sz w:val="28"/>
          <w:szCs w:val="28"/>
        </w:rPr>
      </w:pPr>
      <w:r>
        <w:rPr>
          <w:rFonts w:hint="eastAsia"/>
          <w:sz w:val="28"/>
          <w:szCs w:val="28"/>
        </w:rPr>
        <w:t>粪大肠菌群数监测不得少于1次。</w:t>
      </w:r>
    </w:p>
    <w:p>
      <w:pPr>
        <w:rPr>
          <w:rFonts w:hint="eastAsia"/>
        </w:rPr>
      </w:pPr>
      <w:r>
        <w:rPr>
          <w:rFonts w:hint="eastAsia"/>
          <w:sz w:val="28"/>
          <w:szCs w:val="28"/>
          <w:lang w:val="en-US"/>
        </w:rPr>
        <w:t>4、其他检测要求：运营单位按照以下频率定期委托环保局环境监测站或有 CMA 资质的第三方机构对各院区排放口出水水质进行取样检测，检测频率如下</w:t>
      </w:r>
      <w:r>
        <w:rPr>
          <w:rFonts w:hint="eastAsia"/>
          <w:sz w:val="28"/>
          <w:szCs w:val="28"/>
        </w:rPr>
        <w:t>。（</w:t>
      </w:r>
      <w:r>
        <w:rPr>
          <w:rFonts w:hint="eastAsia"/>
          <w:sz w:val="28"/>
          <w:szCs w:val="28"/>
          <w:lang w:val="en-US"/>
        </w:rPr>
        <w:t>检测频率来源于医疗机构水污染物排放标准《GB18466-2005》</w:t>
      </w:r>
      <w:r>
        <w:rPr>
          <w:rFonts w:hint="eastAsia"/>
          <w:sz w:val="28"/>
          <w:szCs w:val="28"/>
        </w:rPr>
        <w:t>）</w:t>
      </w:r>
    </w:p>
    <w:tbl>
      <w:tblPr>
        <w:tblStyle w:val="11"/>
        <w:tblW w:w="0" w:type="auto"/>
        <w:tblCellSpacing w:w="0" w:type="dxa"/>
        <w:tblInd w:w="15" w:type="dxa"/>
        <w:tblLayout w:type="fixed"/>
        <w:tblCellMar>
          <w:top w:w="0" w:type="dxa"/>
          <w:left w:w="0" w:type="dxa"/>
          <w:bottom w:w="0" w:type="dxa"/>
          <w:right w:w="0" w:type="dxa"/>
        </w:tblCellMar>
      </w:tblPr>
      <w:tblGrid>
        <w:gridCol w:w="944"/>
        <w:gridCol w:w="714"/>
        <w:gridCol w:w="714"/>
        <w:gridCol w:w="714"/>
        <w:gridCol w:w="714"/>
        <w:gridCol w:w="716"/>
        <w:gridCol w:w="1332"/>
        <w:gridCol w:w="1332"/>
        <w:gridCol w:w="1332"/>
      </w:tblGrid>
      <w:tr>
        <w:tblPrEx>
          <w:tblCellMar>
            <w:top w:w="0" w:type="dxa"/>
            <w:left w:w="0" w:type="dxa"/>
            <w:bottom w:w="0" w:type="dxa"/>
            <w:right w:w="0" w:type="dxa"/>
          </w:tblCellMar>
        </w:tblPrEx>
        <w:trPr>
          <w:trHeight w:val="929" w:hRule="atLeast"/>
          <w:tblCellSpacing w:w="0" w:type="dxa"/>
        </w:trPr>
        <w:tc>
          <w:tcPr>
            <w:tcW w:w="944"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指标名称</w:t>
            </w:r>
          </w:p>
        </w:tc>
        <w:tc>
          <w:tcPr>
            <w:tcW w:w="714"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PH</w:t>
            </w:r>
          </w:p>
        </w:tc>
        <w:tc>
          <w:tcPr>
            <w:tcW w:w="714"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COD</w:t>
            </w:r>
          </w:p>
        </w:tc>
        <w:tc>
          <w:tcPr>
            <w:tcW w:w="714"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BOD</w:t>
            </w:r>
          </w:p>
        </w:tc>
        <w:tc>
          <w:tcPr>
            <w:tcW w:w="714"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SS</w:t>
            </w:r>
          </w:p>
        </w:tc>
        <w:tc>
          <w:tcPr>
            <w:tcW w:w="716"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氨氮</w:t>
            </w:r>
          </w:p>
        </w:tc>
        <w:tc>
          <w:tcPr>
            <w:tcW w:w="1332"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粪大肠菌群数</w:t>
            </w:r>
          </w:p>
        </w:tc>
        <w:tc>
          <w:tcPr>
            <w:tcW w:w="1332"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沙门氏菌</w:t>
            </w:r>
          </w:p>
        </w:tc>
        <w:tc>
          <w:tcPr>
            <w:tcW w:w="1332" w:type="dxa"/>
            <w:tcBorders>
              <w:top w:val="single" w:color="080000" w:sz="6" w:space="0"/>
              <w:left w:val="single" w:color="080000" w:sz="6" w:space="0"/>
              <w:bottom w:val="single" w:color="080000" w:sz="6" w:space="0"/>
              <w:right w:val="single" w:color="080000" w:sz="6" w:space="0"/>
            </w:tcBorders>
            <w:shd w:val="clear" w:color="auto" w:fill="A6A6A6"/>
            <w:tcMar>
              <w:left w:w="108" w:type="dxa"/>
              <w:right w:w="108" w:type="dxa"/>
            </w:tcMar>
            <w:vAlign w:val="center"/>
          </w:tcPr>
          <w:p>
            <w:pPr>
              <w:jc w:val="center"/>
              <w:rPr>
                <w:color w:val="000000"/>
                <w:sz w:val="24"/>
                <w:lang w:val="en-US"/>
              </w:rPr>
            </w:pPr>
            <w:r>
              <w:rPr>
                <w:rFonts w:hint="eastAsia"/>
                <w:color w:val="000000"/>
                <w:sz w:val="24"/>
                <w:lang w:val="en-US"/>
              </w:rPr>
              <w:t>志贺氏菌</w:t>
            </w:r>
          </w:p>
        </w:tc>
      </w:tr>
      <w:tr>
        <w:tblPrEx>
          <w:tblCellMar>
            <w:top w:w="0" w:type="dxa"/>
            <w:left w:w="0" w:type="dxa"/>
            <w:bottom w:w="0" w:type="dxa"/>
            <w:right w:w="0" w:type="dxa"/>
          </w:tblCellMar>
        </w:tblPrEx>
        <w:trPr>
          <w:trHeight w:val="929" w:hRule="atLeast"/>
          <w:tblCellSpacing w:w="0" w:type="dxa"/>
        </w:trPr>
        <w:tc>
          <w:tcPr>
            <w:tcW w:w="944" w:type="dxa"/>
            <w:tcBorders>
              <w:top w:val="single" w:color="080000" w:sz="6" w:space="0"/>
              <w:left w:val="single" w:color="080000" w:sz="6" w:space="0"/>
              <w:bottom w:val="single" w:color="080000" w:sz="6" w:space="0"/>
              <w:right w:val="single" w:color="080000" w:sz="6" w:space="0"/>
            </w:tcBorders>
            <w:tcMar>
              <w:left w:w="108" w:type="dxa"/>
              <w:right w:w="108" w:type="dxa"/>
            </w:tcMar>
            <w:vAlign w:val="center"/>
          </w:tcPr>
          <w:p>
            <w:pPr>
              <w:jc w:val="center"/>
              <w:rPr>
                <w:color w:val="000000"/>
                <w:sz w:val="24"/>
                <w:lang w:val="en-US"/>
              </w:rPr>
            </w:pPr>
            <w:r>
              <w:rPr>
                <w:rFonts w:hint="eastAsia"/>
                <w:color w:val="000000"/>
                <w:sz w:val="24"/>
                <w:lang w:val="en-US"/>
              </w:rPr>
              <w:t>检测频率</w:t>
            </w:r>
          </w:p>
        </w:tc>
        <w:tc>
          <w:tcPr>
            <w:tcW w:w="3572" w:type="dxa"/>
            <w:gridSpan w:val="5"/>
            <w:tcBorders>
              <w:top w:val="single" w:color="080000" w:sz="6" w:space="0"/>
              <w:left w:val="single" w:color="080000" w:sz="6" w:space="0"/>
              <w:bottom w:val="single" w:color="080000" w:sz="6" w:space="0"/>
              <w:right w:val="single" w:color="080000" w:sz="6" w:space="0"/>
            </w:tcBorders>
            <w:tcMar>
              <w:left w:w="108" w:type="dxa"/>
              <w:right w:w="108" w:type="dxa"/>
            </w:tcMar>
            <w:vAlign w:val="center"/>
          </w:tcPr>
          <w:p>
            <w:pPr>
              <w:jc w:val="center"/>
              <w:rPr>
                <w:color w:val="000000"/>
                <w:sz w:val="24"/>
                <w:lang w:val="en-US"/>
              </w:rPr>
            </w:pPr>
            <w:r>
              <w:rPr>
                <w:rFonts w:hint="eastAsia"/>
                <w:color w:val="000000"/>
                <w:sz w:val="24"/>
                <w:lang w:val="en-US"/>
              </w:rPr>
              <w:t>1次/季度</w:t>
            </w:r>
          </w:p>
        </w:tc>
        <w:tc>
          <w:tcPr>
            <w:tcW w:w="1332" w:type="dxa"/>
            <w:tcBorders>
              <w:top w:val="single" w:color="080000" w:sz="6" w:space="0"/>
              <w:left w:val="single" w:color="080000" w:sz="6" w:space="0"/>
              <w:bottom w:val="single" w:color="080000" w:sz="6" w:space="0"/>
              <w:right w:val="single" w:color="080000" w:sz="6" w:space="0"/>
            </w:tcBorders>
            <w:tcMar>
              <w:left w:w="108" w:type="dxa"/>
              <w:right w:w="108" w:type="dxa"/>
            </w:tcMar>
            <w:vAlign w:val="center"/>
          </w:tcPr>
          <w:p>
            <w:pPr>
              <w:jc w:val="center"/>
              <w:rPr>
                <w:color w:val="000000"/>
                <w:sz w:val="24"/>
                <w:lang w:val="en-US"/>
              </w:rPr>
            </w:pPr>
            <w:r>
              <w:rPr>
                <w:rFonts w:hint="eastAsia"/>
                <w:color w:val="000000"/>
                <w:sz w:val="24"/>
                <w:lang w:val="en-US"/>
              </w:rPr>
              <w:t>1次/月</w:t>
            </w:r>
          </w:p>
        </w:tc>
        <w:tc>
          <w:tcPr>
            <w:tcW w:w="1332" w:type="dxa"/>
            <w:tcBorders>
              <w:top w:val="single" w:color="080000" w:sz="6" w:space="0"/>
              <w:left w:val="single" w:color="080000" w:sz="6" w:space="0"/>
              <w:bottom w:val="single" w:color="080000" w:sz="6" w:space="0"/>
              <w:right w:val="single" w:color="080000" w:sz="6" w:space="0"/>
            </w:tcBorders>
            <w:tcMar>
              <w:left w:w="108" w:type="dxa"/>
              <w:right w:w="108" w:type="dxa"/>
            </w:tcMar>
            <w:vAlign w:val="center"/>
          </w:tcPr>
          <w:p>
            <w:pPr>
              <w:jc w:val="center"/>
              <w:rPr>
                <w:color w:val="000000"/>
                <w:sz w:val="24"/>
                <w:lang w:val="en-US"/>
              </w:rPr>
            </w:pPr>
            <w:r>
              <w:rPr>
                <w:rFonts w:hint="eastAsia"/>
                <w:color w:val="000000"/>
                <w:sz w:val="24"/>
                <w:lang w:val="en-US"/>
              </w:rPr>
              <w:t>1次/季度</w:t>
            </w:r>
          </w:p>
        </w:tc>
        <w:tc>
          <w:tcPr>
            <w:tcW w:w="1332" w:type="dxa"/>
            <w:tcBorders>
              <w:top w:val="single" w:color="080000" w:sz="6" w:space="0"/>
              <w:left w:val="single" w:color="080000" w:sz="6" w:space="0"/>
              <w:bottom w:val="single" w:color="080000" w:sz="6" w:space="0"/>
              <w:right w:val="single" w:color="080000" w:sz="6" w:space="0"/>
            </w:tcBorders>
            <w:tcMar>
              <w:left w:w="108" w:type="dxa"/>
              <w:right w:w="108" w:type="dxa"/>
            </w:tcMar>
            <w:vAlign w:val="center"/>
          </w:tcPr>
          <w:p>
            <w:pPr>
              <w:jc w:val="center"/>
              <w:rPr>
                <w:color w:val="000000"/>
                <w:sz w:val="24"/>
                <w:lang w:val="en-US"/>
              </w:rPr>
            </w:pPr>
            <w:r>
              <w:rPr>
                <w:rFonts w:hint="eastAsia"/>
                <w:color w:val="000000"/>
                <w:sz w:val="24"/>
                <w:lang w:val="en-US"/>
              </w:rPr>
              <w:t>1次/半年</w:t>
            </w:r>
          </w:p>
        </w:tc>
      </w:tr>
    </w:tbl>
    <w:p>
      <w:pPr>
        <w:pStyle w:val="10"/>
        <w:ind w:left="0" w:leftChars="0" w:firstLine="0" w:firstLineChars="0"/>
        <w:rPr>
          <w:rFonts w:hint="eastAsia" w:eastAsia="宋体"/>
          <w:sz w:val="28"/>
          <w:szCs w:val="28"/>
        </w:rPr>
      </w:pPr>
    </w:p>
    <w:p>
      <w:pPr>
        <w:rPr>
          <w:rFonts w:hint="eastAsia"/>
          <w:sz w:val="28"/>
          <w:szCs w:val="28"/>
        </w:rPr>
      </w:pPr>
      <w:r>
        <w:rPr>
          <w:rFonts w:hint="eastAsia"/>
          <w:b/>
          <w:bCs/>
          <w:sz w:val="28"/>
          <w:szCs w:val="28"/>
          <w:lang w:val="en-US"/>
        </w:rPr>
        <w:t>9</w:t>
      </w:r>
      <w:r>
        <w:rPr>
          <w:rFonts w:hint="eastAsia"/>
          <w:b/>
          <w:bCs/>
          <w:sz w:val="28"/>
          <w:szCs w:val="28"/>
        </w:rPr>
        <w:t>.服务</w:t>
      </w:r>
      <w:r>
        <w:rPr>
          <w:rFonts w:hint="eastAsia" w:ascii="Malgun Gothic" w:hAnsi="Malgun Gothic" w:eastAsia="Malgun Gothic" w:cs="Malgun Gothic"/>
          <w:b/>
          <w:bCs/>
          <w:sz w:val="28"/>
          <w:szCs w:val="28"/>
        </w:rPr>
        <w:t>期（</w:t>
      </w:r>
      <w:r>
        <w:rPr>
          <w:rFonts w:hint="eastAsia"/>
          <w:b/>
          <w:bCs/>
          <w:sz w:val="28"/>
          <w:szCs w:val="28"/>
        </w:rPr>
        <w:t>运营</w:t>
      </w:r>
      <w:r>
        <w:rPr>
          <w:rFonts w:hint="eastAsia" w:ascii="Malgun Gothic" w:hAnsi="Malgun Gothic" w:eastAsia="Malgun Gothic" w:cs="Malgun Gothic"/>
          <w:b/>
          <w:bCs/>
          <w:sz w:val="28"/>
          <w:szCs w:val="28"/>
        </w:rPr>
        <w:t>管理</w:t>
      </w:r>
      <w:r>
        <w:rPr>
          <w:rFonts w:hint="eastAsia"/>
          <w:b/>
          <w:bCs/>
          <w:sz w:val="28"/>
          <w:szCs w:val="28"/>
        </w:rPr>
        <w:t>期限）及进场时间要求：</w:t>
      </w:r>
      <w:r>
        <w:rPr>
          <w:rFonts w:hint="eastAsia"/>
          <w:sz w:val="28"/>
          <w:szCs w:val="28"/>
        </w:rPr>
        <w:t>服务期限为一年。自签订合同之日起五个日历日内进场。</w:t>
      </w:r>
    </w:p>
    <w:p>
      <w:pPr>
        <w:rPr>
          <w:b/>
          <w:sz w:val="28"/>
          <w:szCs w:val="28"/>
        </w:rPr>
      </w:pPr>
      <w:r>
        <w:rPr>
          <w:b/>
          <w:sz w:val="28"/>
          <w:szCs w:val="28"/>
        </w:rPr>
        <w:t>10、附件：500元及以下配件明细表</w:t>
      </w:r>
    </w:p>
    <w:tbl>
      <w:tblPr>
        <w:tblStyle w:val="12"/>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794"/>
        <w:gridCol w:w="425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3794" w:type="dxa"/>
          </w:tcPr>
          <w:p>
            <w:pPr>
              <w:jc w:val="center"/>
              <w:rPr>
                <w:b/>
                <w:sz w:val="28"/>
                <w:szCs w:val="28"/>
              </w:rPr>
            </w:pPr>
            <w:r>
              <w:rPr>
                <w:b/>
                <w:sz w:val="28"/>
                <w:szCs w:val="28"/>
              </w:rPr>
              <w:t>设备名称</w:t>
            </w:r>
          </w:p>
        </w:tc>
        <w:tc>
          <w:tcPr>
            <w:tcW w:w="4252" w:type="dxa"/>
          </w:tcPr>
          <w:p>
            <w:pPr>
              <w:jc w:val="center"/>
              <w:rPr>
                <w:b/>
                <w:sz w:val="28"/>
                <w:szCs w:val="28"/>
              </w:rPr>
            </w:pPr>
            <w:r>
              <w:rPr>
                <w:b/>
                <w:sz w:val="28"/>
                <w:szCs w:val="28"/>
              </w:rPr>
              <w:t>配件明细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794" w:type="dxa"/>
            <w:vMerge w:val="restart"/>
            <w:vAlign w:val="center"/>
          </w:tcPr>
          <w:p>
            <w:pPr>
              <w:jc w:val="center"/>
              <w:rPr>
                <w:sz w:val="28"/>
                <w:szCs w:val="28"/>
              </w:rPr>
            </w:pPr>
            <w:r>
              <w:rPr>
                <w:rFonts w:hint="eastAsia"/>
                <w:sz w:val="28"/>
                <w:szCs w:val="28"/>
              </w:rPr>
              <w:t>提升水泵</w:t>
            </w:r>
          </w:p>
        </w:tc>
        <w:tc>
          <w:tcPr>
            <w:tcW w:w="4252" w:type="dxa"/>
            <w:vAlign w:val="center"/>
          </w:tcPr>
          <w:p>
            <w:pPr>
              <w:jc w:val="center"/>
              <w:rPr>
                <w:sz w:val="28"/>
                <w:szCs w:val="28"/>
              </w:rPr>
            </w:pPr>
            <w:r>
              <w:rPr>
                <w:sz w:val="28"/>
                <w:szCs w:val="28"/>
              </w:rPr>
              <w:t>水封圈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794" w:type="dxa"/>
            <w:vMerge w:val="continue"/>
          </w:tcPr>
          <w:p>
            <w:pPr>
              <w:jc w:val="center"/>
              <w:rPr>
                <w:sz w:val="28"/>
                <w:szCs w:val="28"/>
              </w:rPr>
            </w:pPr>
          </w:p>
        </w:tc>
        <w:tc>
          <w:tcPr>
            <w:tcW w:w="4252" w:type="dxa"/>
            <w:vAlign w:val="center"/>
          </w:tcPr>
          <w:p>
            <w:pPr>
              <w:widowControl/>
              <w:jc w:val="center"/>
              <w:rPr>
                <w:sz w:val="28"/>
                <w:szCs w:val="28"/>
              </w:rPr>
            </w:pPr>
            <w:r>
              <w:rPr>
                <w:sz w:val="28"/>
                <w:szCs w:val="28"/>
              </w:rPr>
              <w:t>线圈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794" w:type="dxa"/>
            <w:vMerge w:val="continue"/>
          </w:tcPr>
          <w:p>
            <w:pPr>
              <w:jc w:val="center"/>
              <w:rPr>
                <w:sz w:val="28"/>
                <w:szCs w:val="28"/>
              </w:rPr>
            </w:pPr>
          </w:p>
        </w:tc>
        <w:tc>
          <w:tcPr>
            <w:tcW w:w="4252" w:type="dxa"/>
            <w:vAlign w:val="center"/>
          </w:tcPr>
          <w:p>
            <w:pPr>
              <w:widowControl/>
              <w:jc w:val="center"/>
              <w:rPr>
                <w:sz w:val="28"/>
                <w:szCs w:val="28"/>
              </w:rPr>
            </w:pPr>
            <w:r>
              <w:rPr>
                <w:sz w:val="28"/>
                <w:szCs w:val="28"/>
              </w:rPr>
              <w:t>水泵底座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794" w:type="dxa"/>
            <w:vMerge w:val="restart"/>
            <w:vAlign w:val="center"/>
          </w:tcPr>
          <w:p>
            <w:pPr>
              <w:jc w:val="center"/>
              <w:rPr>
                <w:sz w:val="28"/>
                <w:szCs w:val="28"/>
              </w:rPr>
            </w:pPr>
            <w:r>
              <w:rPr>
                <w:sz w:val="28"/>
                <w:szCs w:val="28"/>
              </w:rPr>
              <w:t>曝气风机</w:t>
            </w:r>
          </w:p>
        </w:tc>
        <w:tc>
          <w:tcPr>
            <w:tcW w:w="4252" w:type="dxa"/>
            <w:vAlign w:val="center"/>
          </w:tcPr>
          <w:p>
            <w:pPr>
              <w:jc w:val="center"/>
              <w:rPr>
                <w:sz w:val="28"/>
                <w:szCs w:val="28"/>
              </w:rPr>
            </w:pPr>
            <w:r>
              <w:rPr>
                <w:rFonts w:hint="eastAsia"/>
                <w:sz w:val="28"/>
                <w:szCs w:val="28"/>
              </w:rPr>
              <w:t>液压油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794" w:type="dxa"/>
            <w:vMerge w:val="continue"/>
          </w:tcPr>
          <w:p>
            <w:pPr>
              <w:jc w:val="center"/>
              <w:rPr>
                <w:sz w:val="28"/>
                <w:szCs w:val="28"/>
              </w:rPr>
            </w:pPr>
          </w:p>
        </w:tc>
        <w:tc>
          <w:tcPr>
            <w:tcW w:w="4252" w:type="dxa"/>
            <w:vAlign w:val="center"/>
          </w:tcPr>
          <w:p>
            <w:pPr>
              <w:widowControl/>
              <w:jc w:val="center"/>
              <w:rPr>
                <w:sz w:val="28"/>
                <w:szCs w:val="28"/>
              </w:rPr>
            </w:pPr>
            <w:r>
              <w:rPr>
                <w:rFonts w:hint="eastAsia"/>
                <w:sz w:val="28"/>
                <w:szCs w:val="28"/>
              </w:rPr>
              <w:t>皮带</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794" w:type="dxa"/>
            <w:vMerge w:val="continue"/>
          </w:tcPr>
          <w:p>
            <w:pPr>
              <w:jc w:val="center"/>
              <w:rPr>
                <w:sz w:val="28"/>
                <w:szCs w:val="28"/>
              </w:rPr>
            </w:pPr>
          </w:p>
        </w:tc>
        <w:tc>
          <w:tcPr>
            <w:tcW w:w="4252" w:type="dxa"/>
            <w:vAlign w:val="center"/>
          </w:tcPr>
          <w:p>
            <w:pPr>
              <w:widowControl/>
              <w:jc w:val="center"/>
              <w:rPr>
                <w:sz w:val="28"/>
                <w:szCs w:val="28"/>
              </w:rPr>
            </w:pPr>
            <w:r>
              <w:rPr>
                <w:rFonts w:hint="eastAsia"/>
                <w:sz w:val="28"/>
                <w:szCs w:val="28"/>
              </w:rPr>
              <w:t>过滤网</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794" w:type="dxa"/>
            <w:vMerge w:val="continue"/>
          </w:tcPr>
          <w:p>
            <w:pPr>
              <w:jc w:val="center"/>
              <w:rPr>
                <w:sz w:val="28"/>
                <w:szCs w:val="28"/>
              </w:rPr>
            </w:pPr>
          </w:p>
        </w:tc>
        <w:tc>
          <w:tcPr>
            <w:tcW w:w="4252" w:type="dxa"/>
            <w:vAlign w:val="center"/>
          </w:tcPr>
          <w:p>
            <w:pPr>
              <w:widowControl/>
              <w:jc w:val="center"/>
              <w:rPr>
                <w:sz w:val="28"/>
                <w:szCs w:val="28"/>
              </w:rPr>
            </w:pPr>
            <w:r>
              <w:rPr>
                <w:rFonts w:hint="eastAsia"/>
                <w:sz w:val="28"/>
                <w:szCs w:val="28"/>
              </w:rPr>
              <w:t>压力阀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794" w:type="dxa"/>
            <w:vMerge w:val="restart"/>
            <w:vAlign w:val="center"/>
          </w:tcPr>
          <w:p>
            <w:pPr>
              <w:jc w:val="center"/>
              <w:rPr>
                <w:sz w:val="28"/>
                <w:szCs w:val="28"/>
              </w:rPr>
            </w:pPr>
            <w:r>
              <w:rPr>
                <w:rFonts w:hint="eastAsia"/>
                <w:sz w:val="28"/>
                <w:szCs w:val="28"/>
              </w:rPr>
              <w:t>加药设备</w:t>
            </w:r>
          </w:p>
        </w:tc>
        <w:tc>
          <w:tcPr>
            <w:tcW w:w="4252" w:type="dxa"/>
            <w:vAlign w:val="center"/>
          </w:tcPr>
          <w:p>
            <w:pPr>
              <w:widowControl/>
              <w:jc w:val="center"/>
              <w:rPr>
                <w:sz w:val="28"/>
                <w:szCs w:val="28"/>
              </w:rPr>
            </w:pPr>
            <w:r>
              <w:rPr>
                <w:rFonts w:hint="eastAsia"/>
                <w:sz w:val="28"/>
                <w:szCs w:val="28"/>
              </w:rPr>
              <w:t>加药泵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794" w:type="dxa"/>
            <w:vMerge w:val="continue"/>
          </w:tcPr>
          <w:p>
            <w:pPr>
              <w:jc w:val="center"/>
              <w:rPr>
                <w:sz w:val="28"/>
                <w:szCs w:val="28"/>
              </w:rPr>
            </w:pPr>
          </w:p>
        </w:tc>
        <w:tc>
          <w:tcPr>
            <w:tcW w:w="4252" w:type="dxa"/>
            <w:vAlign w:val="center"/>
          </w:tcPr>
          <w:p>
            <w:pPr>
              <w:widowControl/>
              <w:jc w:val="center"/>
              <w:rPr>
                <w:sz w:val="28"/>
                <w:szCs w:val="28"/>
              </w:rPr>
            </w:pPr>
            <w:r>
              <w:rPr>
                <w:rFonts w:hint="eastAsia"/>
                <w:sz w:val="28"/>
                <w:szCs w:val="28"/>
              </w:rPr>
              <w:t>管道阀门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794" w:type="dxa"/>
            <w:vMerge w:val="continue"/>
          </w:tcPr>
          <w:p>
            <w:pPr>
              <w:jc w:val="center"/>
              <w:rPr>
                <w:sz w:val="28"/>
                <w:szCs w:val="28"/>
              </w:rPr>
            </w:pPr>
          </w:p>
        </w:tc>
        <w:tc>
          <w:tcPr>
            <w:tcW w:w="4252" w:type="dxa"/>
            <w:vAlign w:val="center"/>
          </w:tcPr>
          <w:p>
            <w:pPr>
              <w:widowControl/>
              <w:jc w:val="center"/>
              <w:rPr>
                <w:sz w:val="28"/>
                <w:szCs w:val="28"/>
              </w:rPr>
            </w:pPr>
            <w:r>
              <w:rPr>
                <w:rFonts w:hint="eastAsia"/>
                <w:sz w:val="28"/>
                <w:szCs w:val="28"/>
              </w:rPr>
              <w:t>加药管道</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3794" w:type="dxa"/>
            <w:vMerge w:val="restart"/>
            <w:vAlign w:val="center"/>
          </w:tcPr>
          <w:p>
            <w:pPr>
              <w:jc w:val="center"/>
              <w:rPr>
                <w:sz w:val="28"/>
                <w:szCs w:val="28"/>
              </w:rPr>
            </w:pPr>
            <w:r>
              <w:rPr>
                <w:rFonts w:hint="eastAsia"/>
                <w:sz w:val="28"/>
                <w:szCs w:val="28"/>
              </w:rPr>
              <w:t>配电柜电器元件</w:t>
            </w:r>
          </w:p>
        </w:tc>
        <w:tc>
          <w:tcPr>
            <w:tcW w:w="4252" w:type="dxa"/>
            <w:vAlign w:val="center"/>
          </w:tcPr>
          <w:p>
            <w:pPr>
              <w:widowControl/>
              <w:jc w:val="center"/>
              <w:rPr>
                <w:sz w:val="28"/>
                <w:szCs w:val="28"/>
              </w:rPr>
            </w:pPr>
            <w:r>
              <w:rPr>
                <w:rFonts w:hint="eastAsia"/>
                <w:sz w:val="28"/>
                <w:szCs w:val="28"/>
              </w:rPr>
              <w:t>断路器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794" w:type="dxa"/>
            <w:vMerge w:val="continue"/>
          </w:tcPr>
          <w:p>
            <w:pPr>
              <w:rPr>
                <w:sz w:val="28"/>
                <w:szCs w:val="28"/>
              </w:rPr>
            </w:pPr>
          </w:p>
        </w:tc>
        <w:tc>
          <w:tcPr>
            <w:tcW w:w="4252" w:type="dxa"/>
            <w:vAlign w:val="center"/>
          </w:tcPr>
          <w:p>
            <w:pPr>
              <w:widowControl/>
              <w:jc w:val="center"/>
              <w:rPr>
                <w:sz w:val="28"/>
                <w:szCs w:val="28"/>
              </w:rPr>
            </w:pPr>
            <w:r>
              <w:rPr>
                <w:rFonts w:hint="eastAsia"/>
                <w:sz w:val="28"/>
                <w:szCs w:val="28"/>
              </w:rPr>
              <w:t>继电器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794" w:type="dxa"/>
            <w:vMerge w:val="continue"/>
          </w:tcPr>
          <w:p>
            <w:pPr>
              <w:rPr>
                <w:sz w:val="28"/>
                <w:szCs w:val="28"/>
              </w:rPr>
            </w:pPr>
          </w:p>
        </w:tc>
        <w:tc>
          <w:tcPr>
            <w:tcW w:w="4252" w:type="dxa"/>
            <w:vAlign w:val="center"/>
          </w:tcPr>
          <w:p>
            <w:pPr>
              <w:widowControl/>
              <w:jc w:val="center"/>
              <w:rPr>
                <w:sz w:val="28"/>
                <w:szCs w:val="28"/>
              </w:rPr>
            </w:pPr>
            <w:r>
              <w:rPr>
                <w:rFonts w:hint="eastAsia"/>
                <w:sz w:val="28"/>
                <w:szCs w:val="28"/>
              </w:rPr>
              <w:t>漏电保护器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794" w:type="dxa"/>
            <w:vMerge w:val="continue"/>
          </w:tcPr>
          <w:p>
            <w:pPr>
              <w:rPr>
                <w:sz w:val="28"/>
                <w:szCs w:val="28"/>
              </w:rPr>
            </w:pPr>
          </w:p>
        </w:tc>
        <w:tc>
          <w:tcPr>
            <w:tcW w:w="4252" w:type="dxa"/>
            <w:vAlign w:val="center"/>
          </w:tcPr>
          <w:p>
            <w:pPr>
              <w:widowControl/>
              <w:jc w:val="center"/>
              <w:rPr>
                <w:sz w:val="28"/>
                <w:szCs w:val="28"/>
              </w:rPr>
            </w:pPr>
            <w:r>
              <w:rPr>
                <w:rFonts w:hint="eastAsia"/>
                <w:sz w:val="28"/>
                <w:szCs w:val="28"/>
              </w:rPr>
              <w:t>热电保护器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794" w:type="dxa"/>
            <w:vMerge w:val="continue"/>
          </w:tcPr>
          <w:p>
            <w:pPr>
              <w:rPr>
                <w:sz w:val="28"/>
                <w:szCs w:val="28"/>
              </w:rPr>
            </w:pPr>
          </w:p>
        </w:tc>
        <w:tc>
          <w:tcPr>
            <w:tcW w:w="4252" w:type="dxa"/>
            <w:vAlign w:val="center"/>
          </w:tcPr>
          <w:p>
            <w:pPr>
              <w:widowControl/>
              <w:jc w:val="center"/>
              <w:rPr>
                <w:sz w:val="28"/>
                <w:szCs w:val="28"/>
              </w:rPr>
            </w:pPr>
            <w:r>
              <w:rPr>
                <w:rFonts w:hint="eastAsia"/>
                <w:sz w:val="28"/>
                <w:szCs w:val="28"/>
              </w:rPr>
              <w:t>旋钮开关按钮</w:t>
            </w:r>
          </w:p>
        </w:tc>
      </w:tr>
    </w:tbl>
    <w:p>
      <w:pPr>
        <w:tabs>
          <w:tab w:val="left" w:pos="1050"/>
        </w:tabs>
        <w:spacing w:line="440" w:lineRule="exact"/>
        <w:jc w:val="both"/>
        <w:outlineLvl w:val="2"/>
        <w:rPr>
          <w:rFonts w:hint="eastAsia" w:ascii="宋体" w:hAnsi="宋体" w:cs="宋体"/>
          <w:b/>
          <w:sz w:val="28"/>
          <w:szCs w:val="28"/>
        </w:rPr>
      </w:pPr>
    </w:p>
    <w:p>
      <w:pPr>
        <w:tabs>
          <w:tab w:val="left" w:pos="1050"/>
        </w:tabs>
        <w:spacing w:line="440" w:lineRule="exact"/>
        <w:jc w:val="both"/>
        <w:outlineLvl w:val="2"/>
        <w:rPr>
          <w:rFonts w:hint="eastAsia" w:ascii="宋体" w:hAnsi="宋体" w:cs="宋体"/>
          <w:b/>
          <w:sz w:val="28"/>
          <w:szCs w:val="28"/>
        </w:rPr>
      </w:pPr>
      <w:r>
        <w:rPr>
          <w:rFonts w:hint="eastAsia" w:ascii="宋体" w:hAnsi="宋体" w:cs="宋体"/>
          <w:b/>
          <w:sz w:val="28"/>
          <w:szCs w:val="28"/>
        </w:rPr>
        <w:t>二、商务要求</w:t>
      </w:r>
    </w:p>
    <w:p>
      <w:pPr>
        <w:tabs>
          <w:tab w:val="left" w:pos="932"/>
        </w:tabs>
        <w:autoSpaceDE w:val="0"/>
        <w:autoSpaceDN w:val="0"/>
        <w:adjustRightInd w:val="0"/>
        <w:snapToGrid w:val="0"/>
        <w:spacing w:before="173" w:line="360" w:lineRule="auto"/>
        <w:ind w:right="-53" w:rightChars="-24" w:firstLine="468" w:firstLineChars="200"/>
        <w:jc w:val="left"/>
        <w:rPr>
          <w:rFonts w:hint="eastAsia"/>
          <w:spacing w:val="-3"/>
          <w:sz w:val="24"/>
          <w:szCs w:val="24"/>
        </w:rPr>
      </w:pPr>
      <w:r>
        <w:rPr>
          <w:rFonts w:hint="eastAsia"/>
          <w:spacing w:val="-3"/>
          <w:sz w:val="24"/>
          <w:szCs w:val="24"/>
          <w:lang w:val="en-US" w:eastAsia="zh-CN"/>
        </w:rPr>
        <w:t>1</w:t>
      </w:r>
      <w:r>
        <w:rPr>
          <w:rFonts w:hint="eastAsia"/>
          <w:spacing w:val="-3"/>
          <w:sz w:val="24"/>
          <w:szCs w:val="24"/>
        </w:rPr>
        <w:t>、提供服务按照以下原则执行：有国家标准的执行国家标准；无国家标准的执行行业标准；无行业标准的执行地方标准；无地方标准的执行企业标准。</w:t>
      </w:r>
    </w:p>
    <w:p>
      <w:pPr>
        <w:tabs>
          <w:tab w:val="left" w:pos="932"/>
        </w:tabs>
        <w:autoSpaceDE w:val="0"/>
        <w:autoSpaceDN w:val="0"/>
        <w:adjustRightInd w:val="0"/>
        <w:snapToGrid w:val="0"/>
        <w:spacing w:before="173" w:line="360" w:lineRule="auto"/>
        <w:ind w:right="-53" w:rightChars="-24" w:firstLine="468" w:firstLineChars="200"/>
        <w:jc w:val="left"/>
        <w:rPr>
          <w:rFonts w:hint="eastAsia"/>
          <w:spacing w:val="-3"/>
          <w:sz w:val="24"/>
          <w:szCs w:val="24"/>
        </w:rPr>
      </w:pPr>
      <w:bookmarkStart w:id="0" w:name="_Toc154221094"/>
      <w:r>
        <w:rPr>
          <w:rFonts w:hint="eastAsia"/>
          <w:spacing w:val="-3"/>
          <w:sz w:val="24"/>
          <w:szCs w:val="24"/>
          <w:lang w:val="en-US" w:eastAsia="zh-CN"/>
        </w:rPr>
        <w:t>2、</w:t>
      </w:r>
      <w:r>
        <w:rPr>
          <w:rFonts w:hint="eastAsia"/>
          <w:spacing w:val="-3"/>
          <w:sz w:val="24"/>
          <w:szCs w:val="24"/>
        </w:rPr>
        <w:t>运营管理服务</w:t>
      </w:r>
    </w:p>
    <w:p>
      <w:pPr>
        <w:tabs>
          <w:tab w:val="left" w:pos="932"/>
        </w:tabs>
        <w:autoSpaceDE w:val="0"/>
        <w:autoSpaceDN w:val="0"/>
        <w:adjustRightInd w:val="0"/>
        <w:snapToGrid w:val="0"/>
        <w:spacing w:before="173" w:line="360" w:lineRule="auto"/>
        <w:ind w:right="-53" w:rightChars="-24" w:firstLine="468" w:firstLineChars="200"/>
        <w:jc w:val="left"/>
        <w:rPr>
          <w:rFonts w:hint="eastAsia"/>
          <w:spacing w:val="-3"/>
          <w:sz w:val="24"/>
          <w:szCs w:val="24"/>
        </w:rPr>
      </w:pPr>
      <w:r>
        <w:rPr>
          <w:rFonts w:hint="eastAsia"/>
          <w:spacing w:val="-3"/>
          <w:sz w:val="24"/>
          <w:szCs w:val="24"/>
          <w:lang w:val="en-US" w:eastAsia="zh-CN"/>
        </w:rPr>
        <w:t>2.</w:t>
      </w:r>
      <w:r>
        <w:rPr>
          <w:rFonts w:hint="eastAsia"/>
          <w:spacing w:val="-3"/>
          <w:sz w:val="24"/>
          <w:szCs w:val="24"/>
        </w:rPr>
        <w:t>1、针对本项目成立健全的专业小组，分管</w:t>
      </w:r>
      <w:r>
        <w:rPr>
          <w:rFonts w:hint="eastAsia"/>
          <w:spacing w:val="-3"/>
          <w:sz w:val="24"/>
          <w:szCs w:val="24"/>
          <w:lang w:val="en-US" w:eastAsia="zh-CN"/>
        </w:rPr>
        <w:t>组长</w:t>
      </w:r>
      <w:r>
        <w:rPr>
          <w:rFonts w:hint="eastAsia"/>
          <w:spacing w:val="-3"/>
          <w:sz w:val="24"/>
          <w:szCs w:val="24"/>
        </w:rPr>
        <w:t>亲自负责，分工明确（应有具体成员名单，包括姓名、所在投标人的职务、职称、联系方式等）；</w:t>
      </w:r>
    </w:p>
    <w:p>
      <w:pPr>
        <w:tabs>
          <w:tab w:val="left" w:pos="932"/>
        </w:tabs>
        <w:autoSpaceDE w:val="0"/>
        <w:autoSpaceDN w:val="0"/>
        <w:adjustRightInd w:val="0"/>
        <w:snapToGrid w:val="0"/>
        <w:spacing w:before="173" w:line="360" w:lineRule="auto"/>
        <w:ind w:right="-53" w:rightChars="-24" w:firstLine="468" w:firstLineChars="200"/>
        <w:jc w:val="left"/>
        <w:rPr>
          <w:rFonts w:hint="eastAsia"/>
          <w:spacing w:val="-3"/>
          <w:sz w:val="24"/>
          <w:szCs w:val="24"/>
        </w:rPr>
      </w:pPr>
      <w:r>
        <w:rPr>
          <w:rFonts w:hint="eastAsia"/>
          <w:spacing w:val="-3"/>
          <w:sz w:val="24"/>
          <w:szCs w:val="24"/>
        </w:rPr>
        <w:t>2</w:t>
      </w:r>
      <w:r>
        <w:rPr>
          <w:rFonts w:hint="eastAsia"/>
          <w:spacing w:val="-3"/>
          <w:sz w:val="24"/>
          <w:szCs w:val="24"/>
          <w:lang w:val="en-US" w:eastAsia="zh-CN"/>
        </w:rPr>
        <w:t>.2</w:t>
      </w:r>
      <w:r>
        <w:rPr>
          <w:rFonts w:hint="eastAsia"/>
          <w:spacing w:val="-3"/>
          <w:sz w:val="24"/>
          <w:szCs w:val="24"/>
        </w:rPr>
        <w:t>、管理人员要做到24小时手机开机，投标人应设有24小时热线客户咨询服务、投诉举报电话，有专人接听记录、受理；</w:t>
      </w:r>
    </w:p>
    <w:p>
      <w:pPr>
        <w:tabs>
          <w:tab w:val="left" w:pos="932"/>
        </w:tabs>
        <w:autoSpaceDE w:val="0"/>
        <w:autoSpaceDN w:val="0"/>
        <w:adjustRightInd w:val="0"/>
        <w:snapToGrid w:val="0"/>
        <w:spacing w:before="173" w:line="360" w:lineRule="auto"/>
        <w:ind w:right="-53" w:rightChars="-24" w:firstLine="468" w:firstLineChars="200"/>
        <w:jc w:val="left"/>
        <w:rPr>
          <w:rFonts w:hint="eastAsia"/>
          <w:spacing w:val="-3"/>
          <w:sz w:val="24"/>
          <w:szCs w:val="24"/>
        </w:rPr>
      </w:pPr>
      <w:r>
        <w:rPr>
          <w:rFonts w:hint="eastAsia"/>
          <w:spacing w:val="-3"/>
          <w:sz w:val="24"/>
          <w:szCs w:val="24"/>
          <w:lang w:val="en-US" w:eastAsia="zh-CN"/>
        </w:rPr>
        <w:t>2.</w:t>
      </w:r>
      <w:r>
        <w:rPr>
          <w:rFonts w:hint="eastAsia"/>
          <w:spacing w:val="-3"/>
          <w:sz w:val="24"/>
          <w:szCs w:val="24"/>
        </w:rPr>
        <w:t>3、有服务保障措施，如对服务态度、服务质量较差的业务人员有具体处罚办法。</w:t>
      </w:r>
    </w:p>
    <w:bookmarkEnd w:id="0"/>
    <w:p>
      <w:pPr>
        <w:tabs>
          <w:tab w:val="left" w:pos="932"/>
        </w:tabs>
        <w:autoSpaceDE w:val="0"/>
        <w:autoSpaceDN w:val="0"/>
        <w:adjustRightInd w:val="0"/>
        <w:snapToGrid w:val="0"/>
        <w:spacing w:before="173" w:line="360" w:lineRule="auto"/>
        <w:ind w:right="-53" w:rightChars="-24" w:firstLine="468" w:firstLineChars="200"/>
        <w:jc w:val="left"/>
        <w:rPr>
          <w:rFonts w:hint="eastAsia"/>
          <w:spacing w:val="-3"/>
          <w:sz w:val="24"/>
          <w:szCs w:val="24"/>
        </w:rPr>
      </w:pPr>
      <w:r>
        <w:rPr>
          <w:rFonts w:hint="eastAsia"/>
          <w:spacing w:val="-3"/>
          <w:sz w:val="24"/>
          <w:szCs w:val="24"/>
          <w:lang w:val="en-US" w:eastAsia="zh-CN"/>
        </w:rPr>
        <w:t>3</w:t>
      </w:r>
      <w:r>
        <w:rPr>
          <w:rFonts w:hint="eastAsia"/>
          <w:spacing w:val="-3"/>
          <w:sz w:val="24"/>
          <w:szCs w:val="24"/>
        </w:rPr>
        <w:t>、履约保证金</w:t>
      </w:r>
    </w:p>
    <w:p>
      <w:pPr>
        <w:tabs>
          <w:tab w:val="left" w:pos="932"/>
        </w:tabs>
        <w:autoSpaceDE w:val="0"/>
        <w:autoSpaceDN w:val="0"/>
        <w:adjustRightInd w:val="0"/>
        <w:snapToGrid w:val="0"/>
        <w:spacing w:before="173" w:line="360" w:lineRule="auto"/>
        <w:ind w:right="-53" w:rightChars="-24" w:firstLine="468" w:firstLineChars="200"/>
        <w:jc w:val="left"/>
        <w:rPr>
          <w:rFonts w:hint="eastAsia"/>
          <w:spacing w:val="-3"/>
          <w:sz w:val="24"/>
          <w:szCs w:val="24"/>
        </w:rPr>
      </w:pPr>
      <w:r>
        <w:rPr>
          <w:rFonts w:hint="eastAsia"/>
          <w:spacing w:val="-3"/>
          <w:sz w:val="24"/>
          <w:szCs w:val="24"/>
          <w:lang w:val="en-US" w:eastAsia="zh-CN"/>
        </w:rPr>
        <w:t>3.</w:t>
      </w:r>
      <w:r>
        <w:rPr>
          <w:rFonts w:hint="eastAsia"/>
          <w:spacing w:val="-3"/>
          <w:sz w:val="24"/>
          <w:szCs w:val="24"/>
        </w:rPr>
        <w:t>1、在合同签订前，成交供应商向</w:t>
      </w:r>
      <w:r>
        <w:rPr>
          <w:rFonts w:hint="eastAsia"/>
          <w:spacing w:val="-3"/>
          <w:sz w:val="24"/>
          <w:szCs w:val="24"/>
          <w:lang w:val="en-US" w:eastAsia="zh-CN"/>
        </w:rPr>
        <w:t>医院财务科缴纳中标价5%</w:t>
      </w:r>
      <w:r>
        <w:rPr>
          <w:rFonts w:hint="eastAsia"/>
          <w:spacing w:val="-3"/>
          <w:sz w:val="24"/>
          <w:szCs w:val="24"/>
        </w:rPr>
        <w:t>履约保证金。</w:t>
      </w:r>
    </w:p>
    <w:p>
      <w:pPr>
        <w:tabs>
          <w:tab w:val="left" w:pos="932"/>
        </w:tabs>
        <w:autoSpaceDE w:val="0"/>
        <w:autoSpaceDN w:val="0"/>
        <w:adjustRightInd w:val="0"/>
        <w:snapToGrid w:val="0"/>
        <w:spacing w:before="173" w:line="360" w:lineRule="auto"/>
        <w:ind w:right="-53" w:rightChars="-24" w:firstLine="468" w:firstLineChars="200"/>
        <w:jc w:val="left"/>
        <w:rPr>
          <w:rFonts w:hint="eastAsia"/>
          <w:spacing w:val="-3"/>
          <w:sz w:val="24"/>
          <w:szCs w:val="24"/>
        </w:rPr>
      </w:pPr>
      <w:r>
        <w:rPr>
          <w:rFonts w:hint="eastAsia"/>
          <w:spacing w:val="-3"/>
          <w:sz w:val="24"/>
          <w:szCs w:val="24"/>
          <w:lang w:val="en-US" w:eastAsia="zh-CN"/>
        </w:rPr>
        <w:t>3.</w:t>
      </w:r>
      <w:r>
        <w:rPr>
          <w:rFonts w:hint="eastAsia"/>
          <w:spacing w:val="-3"/>
          <w:sz w:val="24"/>
          <w:szCs w:val="24"/>
        </w:rPr>
        <w:t>2、履约保证金作为履行合同的履约保证。</w:t>
      </w:r>
    </w:p>
    <w:p>
      <w:pPr>
        <w:tabs>
          <w:tab w:val="left" w:pos="932"/>
        </w:tabs>
        <w:autoSpaceDE w:val="0"/>
        <w:autoSpaceDN w:val="0"/>
        <w:adjustRightInd w:val="0"/>
        <w:snapToGrid w:val="0"/>
        <w:spacing w:before="173" w:line="360" w:lineRule="auto"/>
        <w:ind w:right="-53" w:rightChars="-24" w:firstLine="468" w:firstLineChars="200"/>
        <w:jc w:val="left"/>
        <w:rPr>
          <w:rFonts w:hint="eastAsia"/>
          <w:spacing w:val="-3"/>
          <w:sz w:val="24"/>
          <w:szCs w:val="24"/>
        </w:rPr>
      </w:pPr>
      <w:r>
        <w:rPr>
          <w:rFonts w:hint="eastAsia"/>
          <w:spacing w:val="-3"/>
          <w:sz w:val="24"/>
          <w:szCs w:val="24"/>
        </w:rPr>
        <w:t>3</w:t>
      </w:r>
      <w:r>
        <w:rPr>
          <w:rFonts w:hint="eastAsia"/>
          <w:spacing w:val="-3"/>
          <w:sz w:val="24"/>
          <w:szCs w:val="24"/>
          <w:lang w:val="en-US" w:eastAsia="zh-CN"/>
        </w:rPr>
        <w:t>.3</w:t>
      </w:r>
      <w:r>
        <w:rPr>
          <w:rFonts w:hint="eastAsia"/>
          <w:spacing w:val="-3"/>
          <w:sz w:val="24"/>
          <w:szCs w:val="24"/>
        </w:rPr>
        <w:t>、履约保证金返还：合同期满后10日内按扣除违约金后的余额无息返还。</w:t>
      </w:r>
    </w:p>
    <w:p>
      <w:pPr>
        <w:tabs>
          <w:tab w:val="left" w:pos="932"/>
        </w:tabs>
        <w:autoSpaceDE w:val="0"/>
        <w:autoSpaceDN w:val="0"/>
        <w:adjustRightInd w:val="0"/>
        <w:snapToGrid w:val="0"/>
        <w:spacing w:before="173" w:line="360" w:lineRule="auto"/>
        <w:ind w:right="-53" w:rightChars="-24" w:firstLine="468" w:firstLineChars="200"/>
        <w:jc w:val="left"/>
        <w:rPr>
          <w:rFonts w:hint="eastAsia"/>
          <w:spacing w:val="-3"/>
          <w:sz w:val="24"/>
          <w:szCs w:val="24"/>
        </w:rPr>
      </w:pPr>
      <w:r>
        <w:rPr>
          <w:rFonts w:hint="eastAsia"/>
          <w:spacing w:val="-3"/>
          <w:sz w:val="24"/>
          <w:szCs w:val="24"/>
          <w:lang w:val="en-US" w:eastAsia="zh-CN"/>
        </w:rPr>
        <w:t>4</w:t>
      </w:r>
      <w:r>
        <w:rPr>
          <w:rFonts w:hint="eastAsia"/>
          <w:spacing w:val="-3"/>
          <w:sz w:val="24"/>
          <w:szCs w:val="24"/>
        </w:rPr>
        <w:t>、进驻响应：合同签订后，接到采购人通知</w:t>
      </w:r>
      <w:r>
        <w:rPr>
          <w:rFonts w:hint="eastAsia"/>
          <w:spacing w:val="-3"/>
          <w:sz w:val="24"/>
          <w:szCs w:val="24"/>
          <w:lang w:val="en-US" w:eastAsia="zh-CN"/>
        </w:rPr>
        <w:t>7个日历</w:t>
      </w:r>
      <w:r>
        <w:rPr>
          <w:rFonts w:hint="eastAsia"/>
          <w:spacing w:val="-3"/>
          <w:sz w:val="24"/>
          <w:szCs w:val="24"/>
        </w:rPr>
        <w:t>日内，安排相应人员全部进岗，并履行相应的岗位职责，并将全部进驻人员资料（包括身份证及相关证件复印件等）提交采购人验收备案。</w:t>
      </w:r>
    </w:p>
    <w:p>
      <w:pPr>
        <w:tabs>
          <w:tab w:val="left" w:pos="932"/>
        </w:tabs>
        <w:autoSpaceDE w:val="0"/>
        <w:autoSpaceDN w:val="0"/>
        <w:adjustRightInd w:val="0"/>
        <w:snapToGrid w:val="0"/>
        <w:spacing w:before="173" w:line="360" w:lineRule="auto"/>
        <w:ind w:right="-53" w:rightChars="-24" w:firstLine="468" w:firstLineChars="200"/>
        <w:jc w:val="left"/>
        <w:rPr>
          <w:rFonts w:hint="eastAsia"/>
          <w:spacing w:val="-3"/>
          <w:sz w:val="24"/>
          <w:szCs w:val="24"/>
          <w:lang w:val="en-US" w:eastAsia="zh-CN"/>
        </w:rPr>
      </w:pPr>
      <w:r>
        <w:rPr>
          <w:rFonts w:hint="eastAsia"/>
          <w:spacing w:val="-3"/>
          <w:sz w:val="24"/>
          <w:szCs w:val="24"/>
          <w:lang w:val="en-US" w:eastAsia="zh-CN"/>
        </w:rPr>
        <w:t>5、合同期限：服务期1年。</w:t>
      </w:r>
    </w:p>
    <w:p>
      <w:pPr>
        <w:tabs>
          <w:tab w:val="left" w:pos="932"/>
        </w:tabs>
        <w:autoSpaceDE w:val="0"/>
        <w:autoSpaceDN w:val="0"/>
        <w:adjustRightInd w:val="0"/>
        <w:snapToGrid w:val="0"/>
        <w:spacing w:before="173" w:line="360" w:lineRule="auto"/>
        <w:ind w:right="-53" w:rightChars="-24" w:firstLine="468" w:firstLineChars="200"/>
        <w:jc w:val="left"/>
        <w:rPr>
          <w:rFonts w:hint="eastAsia"/>
          <w:spacing w:val="-3"/>
          <w:sz w:val="24"/>
          <w:szCs w:val="24"/>
          <w:lang w:val="en-US" w:eastAsia="zh-CN"/>
        </w:rPr>
      </w:pPr>
      <w:r>
        <w:rPr>
          <w:rFonts w:hint="eastAsia"/>
          <w:spacing w:val="-3"/>
          <w:sz w:val="24"/>
          <w:szCs w:val="24"/>
          <w:lang w:val="en-US" w:eastAsia="zh-CN"/>
        </w:rPr>
        <w:t>6、付款方式：合同款每季度结算一次。中标人切实履行了该季度的全部合同义务后，将正规的发票及环保检测合格的报告等材料交付采购人，由采购人审核后支付该季度的合同款。</w:t>
      </w:r>
    </w:p>
    <w:p>
      <w:pPr>
        <w:tabs>
          <w:tab w:val="left" w:pos="932"/>
        </w:tabs>
        <w:autoSpaceDE w:val="0"/>
        <w:autoSpaceDN w:val="0"/>
        <w:adjustRightInd w:val="0"/>
        <w:snapToGrid w:val="0"/>
        <w:spacing w:before="173" w:line="360" w:lineRule="auto"/>
        <w:ind w:right="-53" w:rightChars="-24" w:firstLine="468" w:firstLineChars="200"/>
        <w:jc w:val="left"/>
        <w:rPr>
          <w:rFonts w:hint="default"/>
          <w:spacing w:val="-3"/>
          <w:sz w:val="24"/>
          <w:szCs w:val="24"/>
          <w:lang w:val="en-US" w:eastAsia="zh-CN"/>
        </w:rPr>
      </w:pPr>
      <w:r>
        <w:rPr>
          <w:rFonts w:hint="eastAsia"/>
          <w:spacing w:val="-3"/>
          <w:sz w:val="24"/>
          <w:szCs w:val="24"/>
          <w:lang w:val="en-US" w:eastAsia="zh-CN"/>
        </w:rPr>
        <w:t>7、污水处理站所需水、电及消毒药剂由采购人承担。</w:t>
      </w:r>
    </w:p>
    <w:p>
      <w:pPr>
        <w:rPr>
          <w:rFonts w:hint="eastAsia" w:eastAsia="宋体"/>
          <w:b/>
          <w:bCs/>
          <w:sz w:val="28"/>
          <w:szCs w:val="28"/>
          <w:lang w:val="en-US" w:eastAsia="zh-CN"/>
        </w:rPr>
      </w:pPr>
    </w:p>
    <w:p>
      <w:pPr>
        <w:rPr>
          <w:b/>
          <w:bCs/>
          <w:sz w:val="28"/>
          <w:szCs w:val="28"/>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
    <w:altName w:val="Malgun Gothic"/>
    <w:panose1 w:val="00000000000000000000"/>
    <w:charset w:val="81"/>
    <w:family w:val="roman"/>
    <w:pitch w:val="default"/>
    <w:sig w:usb0="00000000" w:usb1="00000000" w:usb2="00000010" w:usb3="00000000" w:csb0="00080000" w:csb1="00000000"/>
  </w:font>
  <w:font w:name="仿宋">
    <w:panose1 w:val="02010609060101010101"/>
    <w:charset w:val="86"/>
    <w:family w:val="modern"/>
    <w:pitch w:val="default"/>
    <w:sig w:usb0="800002BF" w:usb1="38CF7CFA" w:usb2="00000016" w:usb3="00000000" w:csb0="00040001" w:csb1="00000000"/>
  </w:font>
  <w:font w:name="Malgun Gothic">
    <w:panose1 w:val="020B0503020000020004"/>
    <w:charset w:val="81"/>
    <w:family w:val="swiss"/>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rFonts w:cs="Times New Roman"/>
        <w:sz w:val="20"/>
        <w:szCs w:val="20"/>
      </w:rPr>
    </w:pPr>
    <w:r>
      <w:rPr>
        <w:lang w:val="en-US"/>
      </w:rPr>
      <w:pict>
        <v:shape id="文本框 1" o:spid="_x0000_s4097" o:spt="202" type="#_x0000_t202" style="position:absolute;left:0pt;margin-left:291.15pt;margin-top:776.35pt;height:11pt;width:13.1pt;mso-position-horizontal-relative:page;mso-position-vertical-relative:page;z-index:-251658240;mso-width-relative:page;mso-height-relative:page;" filled="f" stroked="f" coordsize="21600,21600" o:gfxdata="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DT2mW9sAAAANAQAADwAAAAAA&#10;AAABACAAAAAiAAAAZHJzL2Rvd25yZXYueG1sUEsBAhQAFAAAAAgAh07iQFzqpvGeAQAAIwMAAA4A&#10;AAAAAAAAAQAgAAAAKgEAAGRycy9lMm9Eb2MueG1sUEsFBgAAAAAGAAYAWQEAADoFAAAAAA==&#10;">
          <v:path/>
          <v:fill on="f" focussize="0,0"/>
          <v:stroke on="f" joinstyle="miter"/>
          <v:imagedata o:title=""/>
          <o:lock v:ext="edit"/>
          <v:textbox inset="0mm,0mm,0mm,0mm">
            <w:txbxContent>
              <w:p>
                <w:pPr>
                  <w:spacing w:line="220" w:lineRule="exact"/>
                  <w:ind w:left="40"/>
                  <w:rPr>
                    <w:rFonts w:cs="Times New Roman"/>
                    <w:sz w:val="18"/>
                    <w:szCs w:val="18"/>
                  </w:rPr>
                </w:pPr>
                <w:r>
                  <w:rPr>
                    <w:sz w:val="18"/>
                    <w:szCs w:val="18"/>
                  </w:rPr>
                  <w:fldChar w:fldCharType="begin"/>
                </w:r>
                <w:r>
                  <w:rPr>
                    <w:sz w:val="18"/>
                    <w:szCs w:val="18"/>
                  </w:rPr>
                  <w:instrText xml:space="preserve"> PAGE </w:instrText>
                </w:r>
                <w:r>
                  <w:rPr>
                    <w:sz w:val="18"/>
                    <w:szCs w:val="18"/>
                  </w:rPr>
                  <w:fldChar w:fldCharType="separate"/>
                </w:r>
                <w:r>
                  <w:rPr>
                    <w:sz w:val="18"/>
                    <w:szCs w:val="18"/>
                  </w:rPr>
                  <w:t>12</w:t>
                </w:r>
                <w:r>
                  <w:rPr>
                    <w:sz w:val="18"/>
                    <w:szCs w:val="18"/>
                  </w:rPr>
                  <w:fldChar w:fldCharType="end"/>
                </w:r>
              </w:p>
            </w:txbxContent>
          </v:textbox>
          <w10:anchorlock/>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F4B855"/>
    <w:multiLevelType w:val="singleLevel"/>
    <w:tmpl w:val="B0F4B855"/>
    <w:lvl w:ilvl="0" w:tentative="0">
      <w:start w:val="1"/>
      <w:numFmt w:val="decimal"/>
      <w:suff w:val="nothing"/>
      <w:lvlText w:val="%1、"/>
      <w:lvlJc w:val="left"/>
    </w:lvl>
  </w:abstractNum>
  <w:abstractNum w:abstractNumId="1">
    <w:nsid w:val="C40B12D5"/>
    <w:multiLevelType w:val="singleLevel"/>
    <w:tmpl w:val="C40B12D5"/>
    <w:lvl w:ilvl="0" w:tentative="0">
      <w:start w:val="3"/>
      <w:numFmt w:val="decimal"/>
      <w:lvlText w:val="%1."/>
      <w:lvlJc w:val="left"/>
      <w:pPr>
        <w:tabs>
          <w:tab w:val="left" w:pos="312"/>
        </w:tabs>
      </w:pPr>
    </w:lvl>
  </w:abstractNum>
  <w:abstractNum w:abstractNumId="2">
    <w:nsid w:val="D68BC6D7"/>
    <w:multiLevelType w:val="singleLevel"/>
    <w:tmpl w:val="D68BC6D7"/>
    <w:lvl w:ilvl="0" w:tentative="0">
      <w:start w:val="2"/>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FA4C13"/>
    <w:rsid w:val="00003B4A"/>
    <w:rsid w:val="00094889"/>
    <w:rsid w:val="001840EF"/>
    <w:rsid w:val="001D76C6"/>
    <w:rsid w:val="00232D5D"/>
    <w:rsid w:val="00247411"/>
    <w:rsid w:val="0027014E"/>
    <w:rsid w:val="002A40DF"/>
    <w:rsid w:val="00304708"/>
    <w:rsid w:val="00330EAA"/>
    <w:rsid w:val="003B7437"/>
    <w:rsid w:val="003D7BAD"/>
    <w:rsid w:val="004A10A7"/>
    <w:rsid w:val="0054013D"/>
    <w:rsid w:val="007A408D"/>
    <w:rsid w:val="0086356C"/>
    <w:rsid w:val="008E751C"/>
    <w:rsid w:val="009241AE"/>
    <w:rsid w:val="0092675F"/>
    <w:rsid w:val="00952DDC"/>
    <w:rsid w:val="009A23EC"/>
    <w:rsid w:val="00A876F3"/>
    <w:rsid w:val="00AB22A7"/>
    <w:rsid w:val="00B52568"/>
    <w:rsid w:val="00B55951"/>
    <w:rsid w:val="00C1619E"/>
    <w:rsid w:val="00C43765"/>
    <w:rsid w:val="00D64333"/>
    <w:rsid w:val="00DA676D"/>
    <w:rsid w:val="00FA4C13"/>
    <w:rsid w:val="00FF6B7C"/>
    <w:rsid w:val="01D65FCD"/>
    <w:rsid w:val="04AA3F65"/>
    <w:rsid w:val="0821121B"/>
    <w:rsid w:val="082D155D"/>
    <w:rsid w:val="11EE5E62"/>
    <w:rsid w:val="14235CD4"/>
    <w:rsid w:val="16DB0618"/>
    <w:rsid w:val="19B942EA"/>
    <w:rsid w:val="25281AAC"/>
    <w:rsid w:val="2C1B64DB"/>
    <w:rsid w:val="2F9F193E"/>
    <w:rsid w:val="319D2212"/>
    <w:rsid w:val="36CC5653"/>
    <w:rsid w:val="38136663"/>
    <w:rsid w:val="39DF7C1D"/>
    <w:rsid w:val="40BA7CD5"/>
    <w:rsid w:val="41CE3CB5"/>
    <w:rsid w:val="445741AB"/>
    <w:rsid w:val="453501A8"/>
    <w:rsid w:val="54563C9F"/>
    <w:rsid w:val="58A86A75"/>
    <w:rsid w:val="6BB02C17"/>
    <w:rsid w:val="714D5D91"/>
    <w:rsid w:val="758166F7"/>
    <w:rsid w:val="75C92D6F"/>
    <w:rsid w:val="78E61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ar-SA"/>
    </w:rPr>
  </w:style>
  <w:style w:type="paragraph" w:styleId="3">
    <w:name w:val="heading 1"/>
    <w:basedOn w:val="1"/>
    <w:next w:val="1"/>
    <w:qFormat/>
    <w:uiPriority w:val="99"/>
    <w:pPr>
      <w:spacing w:line="360" w:lineRule="auto"/>
      <w:outlineLvl w:val="0"/>
    </w:pPr>
    <w:rPr>
      <w:rFonts w:eastAsia="宋?"/>
      <w:b/>
      <w:bCs/>
      <w:kern w:val="44"/>
      <w:sz w:val="32"/>
      <w:szCs w:val="24"/>
    </w:rPr>
  </w:style>
  <w:style w:type="paragraph" w:styleId="4">
    <w:name w:val="heading 3"/>
    <w:basedOn w:val="1"/>
    <w:next w:val="1"/>
    <w:qFormat/>
    <w:uiPriority w:val="99"/>
    <w:pPr>
      <w:ind w:left="1512"/>
      <w:outlineLvl w:val="2"/>
    </w:pPr>
    <w:rPr>
      <w:rFonts w:ascii="仿宋" w:hAnsi="仿宋" w:eastAsia="仿宋" w:cs="仿宋"/>
      <w:b/>
      <w:bCs/>
      <w:sz w:val="30"/>
      <w:szCs w:val="30"/>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rPr>
      <w:sz w:val="21"/>
      <w:szCs w:val="21"/>
    </w:rPr>
  </w:style>
  <w:style w:type="paragraph" w:styleId="5">
    <w:name w:val="annotation text"/>
    <w:basedOn w:val="1"/>
    <w:qFormat/>
    <w:uiPriority w:val="0"/>
  </w:style>
  <w:style w:type="paragraph" w:styleId="6">
    <w:name w:val="Body Text Indent"/>
    <w:basedOn w:val="1"/>
    <w:qFormat/>
    <w:uiPriority w:val="99"/>
    <w:pPr>
      <w:spacing w:line="480" w:lineRule="auto"/>
      <w:ind w:firstLine="600"/>
    </w:pPr>
    <w:rPr>
      <w:sz w:val="28"/>
    </w:rPr>
  </w:style>
  <w:style w:type="paragraph" w:styleId="7">
    <w:name w:val="Balloon Text"/>
    <w:basedOn w:val="1"/>
    <w:semiHidden/>
    <w:qFormat/>
    <w:uiPriority w:val="0"/>
    <w:rPr>
      <w:sz w:val="18"/>
      <w:szCs w:val="18"/>
    </w:rPr>
  </w:style>
  <w:style w:type="paragraph" w:styleId="8">
    <w:name w:val="footer"/>
    <w:basedOn w:val="1"/>
    <w:link w:val="17"/>
    <w:qFormat/>
    <w:uiPriority w:val="0"/>
    <w:pPr>
      <w:tabs>
        <w:tab w:val="center" w:pos="4153"/>
        <w:tab w:val="right" w:pos="8306"/>
      </w:tabs>
      <w:snapToGrid w:val="0"/>
    </w:pPr>
    <w:rPr>
      <w:sz w:val="18"/>
      <w:szCs w:val="18"/>
    </w:rPr>
  </w:style>
  <w:style w:type="paragraph" w:styleId="9">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First Indent 2"/>
    <w:basedOn w:val="6"/>
    <w:qFormat/>
    <w:uiPriority w:val="99"/>
    <w:pPr>
      <w:spacing w:after="120"/>
      <w:ind w:left="420" w:leftChars="200" w:firstLine="420" w:firstLineChars="200"/>
    </w:pPr>
    <w:rPr>
      <w:rFonts w:eastAsia="宋?"/>
      <w:sz w:val="21"/>
      <w:szCs w:val="24"/>
    </w:rPr>
  </w:style>
  <w:style w:type="table" w:styleId="12">
    <w:name w:val="Table Grid"/>
    <w:basedOn w:val="11"/>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4">
    <w:name w:val="列出段落1"/>
    <w:basedOn w:val="1"/>
    <w:qFormat/>
    <w:uiPriority w:val="99"/>
    <w:pPr>
      <w:spacing w:before="165"/>
      <w:ind w:left="790" w:firstLine="420"/>
    </w:pPr>
  </w:style>
  <w:style w:type="paragraph" w:customStyle="1" w:styleId="15">
    <w:name w:val="Table Paragraph"/>
    <w:basedOn w:val="1"/>
    <w:qFormat/>
    <w:uiPriority w:val="99"/>
  </w:style>
  <w:style w:type="character" w:customStyle="1" w:styleId="16">
    <w:name w:val="页眉 Char"/>
    <w:basedOn w:val="13"/>
    <w:link w:val="9"/>
    <w:qFormat/>
    <w:uiPriority w:val="0"/>
    <w:rPr>
      <w:rFonts w:ascii="宋体" w:hAnsi="宋体" w:cs="宋体"/>
      <w:sz w:val="18"/>
      <w:szCs w:val="18"/>
      <w:lang w:val="zh-CN"/>
    </w:rPr>
  </w:style>
  <w:style w:type="character" w:customStyle="1" w:styleId="17">
    <w:name w:val="页脚 Char"/>
    <w:basedOn w:val="13"/>
    <w:link w:val="8"/>
    <w:qFormat/>
    <w:uiPriority w:val="0"/>
    <w:rPr>
      <w:rFonts w:ascii="宋体" w:hAnsi="宋体" w:cs="宋体"/>
      <w:sz w:val="18"/>
      <w:szCs w:val="18"/>
      <w:lang w:val="zh-CN"/>
    </w:rPr>
  </w:style>
  <w:style w:type="paragraph" w:styleId="1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795</Words>
  <Characters>4537</Characters>
  <Lines>37</Lines>
  <Paragraphs>10</Paragraphs>
  <TotalTime>5</TotalTime>
  <ScaleCrop>false</ScaleCrop>
  <LinksUpToDate>false</LinksUpToDate>
  <CharactersWithSpaces>5322</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2020-05-17T13:24:00Z</dcterms:created>
  <dc:creator>Administrator</dc:creator>
  <cp:lastModifiedBy>敏敏</cp:lastModifiedBy>
  <cp:lastPrinted>2020-05-13T16:50:00Z</cp:lastPrinted>
  <dcterms:modified xsi:type="dcterms:W3CDTF">2020-06-02T02:40:53Z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