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仁济口腔门诊部30%股权转让财务审计及资产清查资产评估要求</w:t>
      </w:r>
    </w:p>
    <w:p>
      <w:pPr>
        <w:rPr>
          <w:rFonts w:hint="eastAsia" w:ascii="仿宋" w:hAnsi="仿宋" w:eastAsia="仿宋" w:cs="黑体"/>
          <w:sz w:val="28"/>
          <w:szCs w:val="28"/>
        </w:rPr>
      </w:pPr>
    </w:p>
    <w:p>
      <w:pPr>
        <w:ind w:firstLine="840" w:firstLineChars="300"/>
        <w:rPr>
          <w:sz w:val="28"/>
          <w:szCs w:val="28"/>
        </w:rPr>
      </w:pPr>
      <w:r>
        <w:rPr>
          <w:rFonts w:hint="eastAsia" w:ascii="仿宋" w:hAnsi="仿宋" w:eastAsia="仿宋" w:cs="黑体"/>
          <w:sz w:val="28"/>
          <w:szCs w:val="28"/>
        </w:rPr>
        <w:t>本地具有会计师事务所和资产评估师资质均可参加，</w:t>
      </w:r>
      <w:r>
        <w:rPr>
          <w:rFonts w:hint="eastAsia" w:ascii="仿宋" w:hAnsi="仿宋" w:eastAsia="仿宋" w:cs="黑体"/>
          <w:sz w:val="28"/>
          <w:szCs w:val="28"/>
          <w:highlight w:val="yellow"/>
        </w:rPr>
        <w:t>财务审计及资产清查预算价格1.5万元</w:t>
      </w:r>
      <w:r>
        <w:rPr>
          <w:rFonts w:hint="eastAsia" w:ascii="仿宋" w:hAnsi="仿宋" w:eastAsia="仿宋" w:cs="黑体"/>
          <w:sz w:val="28"/>
          <w:szCs w:val="28"/>
          <w:highlight w:val="yellow"/>
          <w:lang w:eastAsia="zh-CN"/>
        </w:rPr>
        <w:t>、</w:t>
      </w:r>
      <w:r>
        <w:rPr>
          <w:rFonts w:ascii="仿宋" w:hAnsi="仿宋" w:eastAsia="仿宋" w:cs="黑体"/>
          <w:sz w:val="28"/>
          <w:szCs w:val="28"/>
          <w:highlight w:val="green"/>
        </w:rPr>
        <w:t>资产评估</w:t>
      </w:r>
      <w:r>
        <w:rPr>
          <w:rFonts w:hint="eastAsia" w:ascii="仿宋" w:hAnsi="仿宋" w:eastAsia="仿宋" w:cs="黑体"/>
          <w:sz w:val="28"/>
          <w:szCs w:val="28"/>
          <w:highlight w:val="green"/>
        </w:rPr>
        <w:t>预算价格1.5万元</w:t>
      </w:r>
      <w:r>
        <w:rPr>
          <w:rFonts w:hint="eastAsia" w:ascii="仿宋" w:hAnsi="仿宋" w:eastAsia="仿宋" w:cs="黑体"/>
          <w:sz w:val="28"/>
          <w:szCs w:val="28"/>
        </w:rPr>
        <w:t>，不能</w:t>
      </w:r>
      <w:r>
        <w:rPr>
          <w:rFonts w:hint="eastAsia" w:ascii="仿宋" w:hAnsi="仿宋" w:eastAsia="仿宋" w:cs="黑体"/>
          <w:sz w:val="28"/>
          <w:szCs w:val="28"/>
          <w:lang w:val="en-US" w:eastAsia="zh-CN"/>
        </w:rPr>
        <w:t>为</w:t>
      </w:r>
      <w:r>
        <w:rPr>
          <w:rFonts w:hint="eastAsia" w:ascii="仿宋" w:hAnsi="仿宋" w:eastAsia="仿宋" w:cs="黑体"/>
          <w:sz w:val="28"/>
          <w:szCs w:val="28"/>
        </w:rPr>
        <w:t>一家单位</w:t>
      </w:r>
      <w:r>
        <w:rPr>
          <w:rFonts w:hint="eastAsia" w:ascii="仿宋" w:hAnsi="仿宋" w:eastAsia="仿宋" w:cs="黑体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黑体"/>
          <w:sz w:val="28"/>
          <w:szCs w:val="28"/>
          <w:lang w:val="en-US" w:eastAsia="zh-CN"/>
        </w:rPr>
        <w:t>同一法人</w:t>
      </w:r>
      <w:r>
        <w:rPr>
          <w:rFonts w:hint="eastAsia" w:ascii="仿宋" w:hAnsi="仿宋" w:eastAsia="仿宋" w:cs="黑体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黑体"/>
          <w:sz w:val="28"/>
          <w:szCs w:val="28"/>
        </w:rPr>
        <w:t>承接全</w:t>
      </w:r>
      <w:bookmarkStart w:id="0" w:name="_GoBack"/>
      <w:bookmarkEnd w:id="0"/>
      <w:r>
        <w:rPr>
          <w:rFonts w:hint="eastAsia" w:ascii="仿宋" w:hAnsi="仿宋" w:eastAsia="仿宋" w:cs="黑体"/>
          <w:sz w:val="28"/>
          <w:szCs w:val="28"/>
        </w:rPr>
        <w:t>部业务。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D9351B"/>
    <w:rsid w:val="1AAA6754"/>
    <w:rsid w:val="25D93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2020-05-20T09:31:00Z</dcterms:created>
  <dc:creator>敏敏</dc:creator>
  <cp:lastModifiedBy>敏敏</cp:lastModifiedBy>
  <dcterms:modified xsi:type="dcterms:W3CDTF">2020-05-20T09:57:39Z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