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4260"/>
        <w:gridCol w:w="525"/>
        <w:gridCol w:w="1395"/>
        <w:gridCol w:w="315"/>
        <w:gridCol w:w="210"/>
        <w:gridCol w:w="202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单位工程最高投标限价汇总表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1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工程名称：马鞍山市人民医院污水处理站设备更换工程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标段：</w:t>
            </w:r>
          </w:p>
        </w:tc>
        <w:tc>
          <w:tcPr>
            <w:tcW w:w="223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第1页 共1页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78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汇总内容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金额(元)</w:t>
            </w:r>
          </w:p>
        </w:tc>
        <w:tc>
          <w:tcPr>
            <w:tcW w:w="255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其中:材料、设备暂估价(元)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分部分项工程费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64628.73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措施项目费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238.60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不可竞争费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405.26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3.1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安全文明施工费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405.26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3.2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工程排污费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其他项目费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4.1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暂列金额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4.2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专业工程暂估价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4.3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计日工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4.4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总承包服务费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税金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5874.53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53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工程造价=1+2+3+4+5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71147.12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6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45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安徽省建设工程造价计价软件测评合格编号2018JS-04【未来清单计价(安徽)V7.0】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2019年07月24日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00023"/>
    <w:rsid w:val="38B0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2019-09-23T00:16:00Z</dcterms:created>
  <dc:creator>谈红燕</dc:creator>
  <cp:lastModifiedBy>谈红燕</cp:lastModifiedBy>
  <dcterms:modified xsi:type="dcterms:W3CDTF">2019-09-23T00:18:12Z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